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74E55">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rFonts w:hint="eastAsia" w:eastAsia="宋体"/>
          <w:b/>
          <w:sz w:val="24"/>
          <w:szCs w:val="24"/>
          <w:highlight w:val="none"/>
          <w:lang w:val="en-US" w:eastAsia="zh-CN"/>
        </w:rPr>
        <w:t xml:space="preserve">      </w:t>
      </w:r>
      <w:r>
        <w:rPr>
          <w:b/>
          <w:sz w:val="24"/>
          <w:szCs w:val="24"/>
          <w:highlight w:val="none"/>
        </w:rPr>
        <w:t>R4-2</w:t>
      </w:r>
      <w:r>
        <w:rPr>
          <w:rFonts w:hint="eastAsia" w:eastAsia="宋体"/>
          <w:b/>
          <w:sz w:val="24"/>
          <w:szCs w:val="24"/>
          <w:highlight w:val="none"/>
          <w:lang w:val="en-US" w:eastAsia="zh-CN"/>
        </w:rPr>
        <w:t>418441</w:t>
      </w:r>
      <w:bookmarkStart w:id="13" w:name="_GoBack"/>
      <w:bookmarkEnd w:id="13"/>
      <w:r>
        <w:rPr>
          <w:rFonts w:hint="eastAsia"/>
          <w:b/>
          <w:sz w:val="24"/>
          <w:szCs w:val="24"/>
          <w:highlight w:val="none"/>
        </w:rPr>
        <w:t xml:space="preserve">   </w:t>
      </w:r>
      <w:r>
        <w:rPr>
          <w:b/>
          <w:sz w:val="24"/>
          <w:szCs w:val="24"/>
          <w:highlight w:val="none"/>
        </w:rPr>
        <w:t xml:space="preserve">                            </w:t>
      </w:r>
    </w:p>
    <w:bookmarkEnd w:id="0"/>
    <w:bookmarkEnd w:id="1"/>
    <w:p w14:paraId="579DF317">
      <w:pPr>
        <w:pStyle w:val="7"/>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lang w:eastAsia="zh-CN"/>
        </w:rPr>
        <w:t>Orlando, US, 18</w:t>
      </w:r>
      <w:r>
        <w:rPr>
          <w:rFonts w:hint="eastAsia"/>
          <w:b/>
          <w:sz w:val="24"/>
          <w:szCs w:val="24"/>
          <w:highlight w:val="none"/>
          <w:vertAlign w:val="superscript"/>
          <w:lang w:eastAsia="zh-CN"/>
        </w:rPr>
        <w:t>th</w:t>
      </w:r>
      <w:r>
        <w:rPr>
          <w:rFonts w:hint="eastAsia"/>
          <w:b/>
          <w:sz w:val="24"/>
          <w:szCs w:val="24"/>
          <w:highlight w:val="none"/>
          <w:lang w:eastAsia="zh-CN"/>
        </w:rPr>
        <w:t xml:space="preserve"> – 22</w:t>
      </w:r>
      <w:r>
        <w:rPr>
          <w:rFonts w:hint="eastAsia"/>
          <w:b/>
          <w:sz w:val="24"/>
          <w:szCs w:val="24"/>
          <w:highlight w:val="none"/>
          <w:vertAlign w:val="superscript"/>
          <w:lang w:eastAsia="zh-CN"/>
        </w:rPr>
        <w:t>nd</w:t>
      </w:r>
      <w:r>
        <w:rPr>
          <w:rFonts w:hint="eastAsia"/>
          <w:b/>
          <w:sz w:val="24"/>
          <w:szCs w:val="24"/>
          <w:highlight w:val="none"/>
          <w:lang w:eastAsia="zh-CN"/>
        </w:rPr>
        <w:t xml:space="preserve"> November</w:t>
      </w:r>
      <w:r>
        <w:rPr>
          <w:rFonts w:hint="eastAsia"/>
          <w:b/>
          <w:sz w:val="24"/>
          <w:szCs w:val="24"/>
          <w:highlight w:val="none"/>
        </w:rPr>
        <w:t>, 2024</w:t>
      </w:r>
    </w:p>
    <w:p w14:paraId="29DC69B0">
      <w:pPr>
        <w:tabs>
          <w:tab w:val="left" w:pos="1985"/>
        </w:tabs>
        <w:rPr>
          <w:rFonts w:ascii="Times New Roman" w:hAnsi="Times New Roman"/>
          <w:b/>
          <w:sz w:val="22"/>
          <w:highlight w:val="none"/>
        </w:rPr>
      </w:pPr>
    </w:p>
    <w:p w14:paraId="7C90EE4D">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19</w:t>
      </w:r>
      <w:r>
        <w:rPr>
          <w:rFonts w:hint="eastAsia" w:ascii="Times New Roman" w:hAnsi="Times New Roman"/>
          <w:sz w:val="22"/>
          <w:highlight w:val="none"/>
        </w:rPr>
        <w:t>.</w:t>
      </w:r>
      <w:r>
        <w:rPr>
          <w:rFonts w:hint="eastAsia" w:ascii="Times New Roman" w:hAnsi="Times New Roman"/>
          <w:sz w:val="22"/>
          <w:highlight w:val="none"/>
          <w:lang w:val="en-US" w:eastAsia="zh-CN"/>
        </w:rPr>
        <w:t>3.2</w:t>
      </w:r>
    </w:p>
    <w:p w14:paraId="0D871BCF">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E5E5EFA">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other RRM requirements for NR MIMO Phase 5</w:t>
      </w:r>
    </w:p>
    <w:bookmarkEnd w:id="4"/>
    <w:bookmarkEnd w:id="5"/>
    <w:p w14:paraId="345B652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7764D82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D0AC0B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MIMO Phase 5 was approved [1]. In RAN#105 meeting, the revised WID are approved [2], the objectives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C14B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4D08AFC">
            <w:pPr>
              <w:snapToGrid w:val="0"/>
              <w:spacing w:before="120" w:beforeLines="50" w:after="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RAN1:</w:t>
            </w:r>
          </w:p>
          <w:p w14:paraId="3E1F888A">
            <w:pPr>
              <w:numPr>
                <w:ilvl w:val="0"/>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6" w:name="_Hlk145555364"/>
            <w:bookmarkStart w:id="7" w:name="_Hlk146642115"/>
            <w:r>
              <w:rPr>
                <w:rFonts w:hint="default" w:ascii="Times New Roman" w:hAnsi="Times New Roman" w:eastAsia="Times New Roman" w:cs="Times New Roman"/>
                <w:sz w:val="20"/>
                <w:szCs w:val="20"/>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7589245C">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UL signaling content(s) (and procedure(s) as required) for UE-initiated/event-driven beam reporting facilitating fast beam switching </w:t>
            </w:r>
          </w:p>
          <w:p w14:paraId="338C5A14">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UL signaling medium/container considering the UE-initiated/event-driven nature of the UL transmission, designed primarily for the purpose of beam reporting</w:t>
            </w:r>
            <w:bookmarkEnd w:id="6"/>
          </w:p>
          <w:p w14:paraId="065544F5">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3549BDA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8" w:name="_Hlk146697700"/>
            <w:r>
              <w:rPr>
                <w:rFonts w:hint="default" w:ascii="Times New Roman" w:hAnsi="Times New Roman" w:eastAsia="Times New Roman" w:cs="Times New Roman"/>
                <w:sz w:val="20"/>
                <w:szCs w:val="20"/>
                <w:lang w:val="en-US" w:eastAsia="en-US"/>
              </w:rPr>
              <w:t>Specify CSI support for up to 128 CSI-RS ports, targeting FR1</w:t>
            </w:r>
          </w:p>
          <w:p w14:paraId="2A954350">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 codebook refinement supporting up to a total of 128 CSI-RS ports across all resources, assuming legacy CSI-RS resources (with up to 32 CSI-RS ports per resource), based on extension of legacy codebooks</w:t>
            </w:r>
          </w:p>
          <w:p w14:paraId="595041C1">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F8FB97D">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8"/>
          </w:p>
          <w:p w14:paraId="681C4513">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SRS port grouping and its association to the two codewords for the 6/8Rx low complexity receiver supporting more than 4 layers, with legacy codebook</w:t>
            </w:r>
          </w:p>
          <w:p w14:paraId="7B73B0E7">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 enhancement on codeword-to-layer mapping, DL resource allocation, CSI feedback, and DCI format</w:t>
            </w:r>
          </w:p>
          <w:p w14:paraId="40784E11">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Whether to support 6Rx with more than 4 layers is to be decided in RAN4 Rel-19 RF enhancements WI</w:t>
            </w:r>
          </w:p>
          <w:p w14:paraId="10420573">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17129730">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UE reporting enhancement for CJT deployments under non-ideal synchronization and backhaul, targeting FR1, both FDD and TDD </w:t>
            </w:r>
          </w:p>
          <w:p w14:paraId="1F3C259A">
            <w:pPr>
              <w:numPr>
                <w:ilvl w:val="0"/>
                <w:numId w:val="5"/>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Inter-TRP time misalignment and frequency/phase offset measurement and reporting, assuming legacy CSI-RS design, with stand-alone aperiodic reporting on PUSCH</w:t>
            </w:r>
          </w:p>
          <w:p w14:paraId="6B5D8A9B">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w:t>
            </w:r>
          </w:p>
          <w:p w14:paraId="18A4019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non-coherent UL codebook to facilitate 3-antenna-port codebook-based transmissions, enhancement(s) to enable </w:t>
            </w:r>
            <w:r>
              <w:rPr>
                <w:rFonts w:hint="default" w:ascii="Times New Roman" w:hAnsi="Times New Roman" w:eastAsia="Times New Roman" w:cs="Times New Roman"/>
                <w:sz w:val="20"/>
                <w:szCs w:val="20"/>
                <w:lang w:eastAsia="en-US"/>
              </w:rPr>
              <w:t>3T6R SRS antenna switching</w:t>
            </w:r>
            <w:r>
              <w:rPr>
                <w:rFonts w:hint="default" w:ascii="Times New Roman" w:hAnsi="Times New Roman" w:eastAsia="Times New Roman" w:cs="Times New Roman"/>
                <w:sz w:val="20"/>
                <w:szCs w:val="20"/>
                <w:lang w:val="en-US" w:eastAsia="en-US"/>
              </w:rPr>
              <w:t>, as well as UE capability signaling for 3T3R antenna switching and 3-antenna-port non-codebook-based transmissions, without enhancement on UL full power transmission and without enhancement on SRS resource</w:t>
            </w:r>
          </w:p>
          <w:p w14:paraId="5D0CE35D">
            <w:pPr>
              <w:overflowPunct/>
              <w:autoSpaceDE/>
              <w:autoSpaceDN/>
              <w:adjustRightInd/>
              <w:snapToGrid w:val="0"/>
              <w:spacing w:after="0"/>
              <w:ind w:firstLine="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UL full power transmission mode 1 and 2 are not supported.</w:t>
            </w:r>
          </w:p>
          <w:p w14:paraId="3BCD3C9C">
            <w:pPr>
              <w:overflowPunct/>
              <w:autoSpaceDE/>
              <w:autoSpaceDN/>
              <w:adjustRightInd/>
              <w:snapToGrid w:val="0"/>
              <w:spacing w:after="0"/>
              <w:ind w:left="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O</w:t>
            </w:r>
            <w:r>
              <w:rPr>
                <w:rFonts w:hint="default" w:ascii="Times New Roman" w:hAnsi="Times New Roman" w:eastAsia="Times New Roman" w:cs="Times New Roman"/>
                <w:sz w:val="20"/>
                <w:szCs w:val="20"/>
                <w:lang w:eastAsia="en-US"/>
              </w:rPr>
              <w:t>ther than UE capability signaling, no other enhancement is specified for 3T3R SRS antenna switching.</w:t>
            </w:r>
          </w:p>
          <w:p w14:paraId="045BD897">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04DEFA38">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7C214B30">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Two closed-loop PC adjustment states for SRS, both separate from PUSCH; and pathloss offset configurations for pathloss calculation to UL TRP(s), when the pathloss RS is from DL sTRP. </w:t>
            </w:r>
          </w:p>
          <w:p w14:paraId="1FACA9B9">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eastAsia="en-US"/>
              </w:rPr>
              <w:t>Two TAs through reusing Rel-18 specification of two TAs for multi-DCI-based multi-TRP and removing the restriction that </w:t>
            </w:r>
            <w:r>
              <w:rPr>
                <w:rFonts w:hint="default" w:ascii="Times New Roman" w:hAnsi="Times New Roman" w:eastAsia="Times New Roman" w:cs="Times New Roman"/>
                <w:i/>
                <w:iCs/>
                <w:sz w:val="20"/>
                <w:szCs w:val="20"/>
                <w:lang w:eastAsia="en-US"/>
              </w:rPr>
              <w:t xml:space="preserve">coresetPoolIndex </w:t>
            </w:r>
            <w:r>
              <w:rPr>
                <w:rFonts w:hint="default" w:ascii="Times New Roman" w:hAnsi="Times New Roman" w:eastAsia="Times New Roman" w:cs="Times New Roman"/>
                <w:sz w:val="20"/>
                <w:szCs w:val="20"/>
                <w:lang w:eastAsia="en-US"/>
              </w:rPr>
              <w:t>needs to be configured, assuming legacy PRACH resources</w:t>
            </w:r>
          </w:p>
          <w:bookmarkEnd w:id="7"/>
          <w:p w14:paraId="55F2789F">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1D42141F">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Acronyms:</w:t>
            </w:r>
          </w:p>
          <w:p w14:paraId="53DA10B2">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sTRP: single TRP (transmit-receive point)</w:t>
            </w:r>
          </w:p>
          <w:p w14:paraId="48E022CC">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mTRP: multiple TRP (transmit-receive point)</w:t>
            </w:r>
          </w:p>
          <w:p w14:paraId="07BD14CB">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CJT: coherent joint transmission</w:t>
            </w:r>
          </w:p>
          <w:p w14:paraId="5F39D46A">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DU: distributed unit</w:t>
            </w:r>
          </w:p>
          <w:p w14:paraId="607E7D4A">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CRI: CSI-RS resource indicator</w:t>
            </w:r>
          </w:p>
          <w:p w14:paraId="2215D27D">
            <w:pPr>
              <w:snapToGrid w:val="0"/>
              <w:spacing w:before="120" w:beforeLines="50" w:after="0"/>
              <w:jc w:val="both"/>
              <w:rPr>
                <w:rFonts w:hint="default" w:ascii="Times New Roman" w:hAnsi="Times New Roman" w:cs="Times New Roman"/>
                <w:bCs/>
                <w:sz w:val="20"/>
                <w:szCs w:val="20"/>
                <w:lang w:val="en-US"/>
              </w:rPr>
            </w:pPr>
          </w:p>
          <w:p w14:paraId="74437547">
            <w:pPr>
              <w:spacing w:after="0"/>
              <w:rPr>
                <w:rFonts w:hint="default" w:ascii="Times New Roman" w:hAnsi="Times New Roman" w:eastAsia="Malgun Gothic" w:cs="Times New Roman"/>
                <w:b/>
                <w:sz w:val="20"/>
                <w:szCs w:val="20"/>
                <w:lang w:val="en-US" w:eastAsia="ko-KR"/>
              </w:rPr>
            </w:pPr>
            <w:r>
              <w:rPr>
                <w:rFonts w:hint="default" w:ascii="Times New Roman" w:hAnsi="Times New Roman" w:eastAsia="Malgun Gothic" w:cs="Times New Roman"/>
                <w:b/>
                <w:sz w:val="20"/>
                <w:szCs w:val="20"/>
                <w:lang w:val="en-US" w:eastAsia="ko-KR"/>
              </w:rPr>
              <w:t>RAN2:</w:t>
            </w:r>
          </w:p>
          <w:p w14:paraId="1118884B">
            <w:pPr>
              <w:spacing w:after="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Specify higher layer support of the enhancements listed above. </w:t>
            </w:r>
          </w:p>
          <w:p w14:paraId="1AB87206">
            <w:pPr>
              <w:spacing w:after="0"/>
              <w:rPr>
                <w:rFonts w:hint="default" w:ascii="Times New Roman" w:hAnsi="Times New Roman" w:cs="Times New Roman"/>
                <w:sz w:val="20"/>
                <w:szCs w:val="20"/>
                <w:lang w:eastAsia="ko-KR"/>
              </w:rPr>
            </w:pPr>
          </w:p>
          <w:p w14:paraId="4CE9DFE2">
            <w:pPr>
              <w:spacing w:after="0"/>
              <w:rPr>
                <w:rFonts w:hint="default" w:ascii="Times New Roman" w:hAnsi="Times New Roman" w:eastAsia="Malgun Gothic" w:cs="Times New Roman"/>
                <w:b/>
                <w:sz w:val="20"/>
                <w:szCs w:val="20"/>
                <w:lang w:eastAsia="ko-KR"/>
              </w:rPr>
            </w:pPr>
            <w:r>
              <w:rPr>
                <w:rFonts w:hint="default" w:ascii="Times New Roman" w:hAnsi="Times New Roman" w:eastAsia="Malgun Gothic" w:cs="Times New Roman"/>
                <w:b/>
                <w:sz w:val="20"/>
                <w:szCs w:val="20"/>
                <w:lang w:eastAsia="ko-KR"/>
              </w:rPr>
              <w:t>RAN4:</w:t>
            </w:r>
          </w:p>
          <w:p w14:paraId="0D8DD8B4">
            <w:pPr>
              <w:spacing w:after="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Specify necessary core requirements for the enhancements listed above.</w:t>
            </w:r>
          </w:p>
          <w:p w14:paraId="6D602D67">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3998C60A">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initial discussion on NR MIMO Phase 5,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RRM requirements on UE reporting enhancement for CJT calibration and enhancements for asymmetric DL sTRP/UL mTRP scenarios</w:t>
      </w:r>
      <w:r>
        <w:rPr>
          <w:rFonts w:hint="eastAsia" w:ascii="Times New Roman" w:hAnsi="Times New Roman"/>
          <w:bCs/>
          <w:iCs/>
          <w:sz w:val="20"/>
          <w:szCs w:val="20"/>
        </w:rPr>
        <w:t>.</w:t>
      </w:r>
    </w:p>
    <w:p w14:paraId="5A1FE4B1">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9" w:name="OLE_LINK1"/>
      <w:bookmarkStart w:id="10" w:name="OLE_LINK2"/>
      <w:r>
        <w:rPr>
          <w:rFonts w:ascii="Times New Roman" w:hAnsi="Times New Roman"/>
          <w:i/>
          <w:sz w:val="20"/>
          <w:szCs w:val="20"/>
        </w:rPr>
        <w:t xml:space="preserve"> </w:t>
      </w:r>
    </w:p>
    <w:p w14:paraId="0F89940E">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2.1 UE reporting enhancement for CJT calibration</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E343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2FA8C4C">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 xml:space="preserve">Issue 2-2: Whether </w:t>
            </w:r>
            <w:r>
              <w:rPr>
                <w:rFonts w:hint="default" w:ascii="Times New Roman" w:hAnsi="Times New Roman" w:cs="Times New Roman"/>
                <w:b/>
                <w:color w:val="auto"/>
                <w:sz w:val="20"/>
                <w:szCs w:val="20"/>
                <w:u w:val="single"/>
                <w:lang w:eastAsia="zh-CN"/>
              </w:rPr>
              <w:t xml:space="preserve">RRM </w:t>
            </w:r>
            <w:r>
              <w:rPr>
                <w:rFonts w:hint="default" w:ascii="Times New Roman" w:hAnsi="Times New Roman" w:cs="Times New Roman"/>
                <w:b/>
                <w:color w:val="auto"/>
                <w:sz w:val="20"/>
                <w:szCs w:val="20"/>
                <w:u w:val="single"/>
                <w:lang w:eastAsia="ko-KR"/>
              </w:rPr>
              <w:t xml:space="preserve">performance requirements impacts </w:t>
            </w:r>
            <w:r>
              <w:rPr>
                <w:rFonts w:hint="default" w:ascii="Times New Roman" w:hAnsi="Times New Roman" w:cs="Times New Roman"/>
                <w:b/>
                <w:color w:val="auto"/>
                <w:sz w:val="20"/>
                <w:szCs w:val="20"/>
                <w:u w:val="single"/>
                <w:lang w:eastAsia="zh-CN"/>
              </w:rPr>
              <w:t>exist</w:t>
            </w:r>
            <w:r>
              <w:rPr>
                <w:rFonts w:hint="default" w:ascii="Times New Roman" w:hAnsi="Times New Roman" w:cs="Times New Roman"/>
                <w:b/>
                <w:color w:val="auto"/>
                <w:sz w:val="20"/>
                <w:szCs w:val="20"/>
                <w:u w:val="single"/>
                <w:lang w:eastAsia="ko-KR"/>
              </w:rPr>
              <w:t xml:space="preserve"> by UE reporting enhancement for CJT calibration?</w:t>
            </w:r>
          </w:p>
          <w:p w14:paraId="57FD789B">
            <w:pPr>
              <w:overflowPunct/>
              <w:autoSpaceDE/>
              <w:autoSpaceDN/>
              <w:adjustRightInd/>
              <w:spacing w:after="12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Way forward:</w:t>
            </w:r>
          </w:p>
          <w:p w14:paraId="63F1C245">
            <w:pPr>
              <w:pStyle w:val="12"/>
              <w:numPr>
                <w:ilvl w:val="0"/>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1: Define accuracy requirements.</w:t>
            </w:r>
          </w:p>
          <w:p w14:paraId="2068A720">
            <w:pPr>
              <w:pStyle w:val="12"/>
              <w:numPr>
                <w:ilvl w:val="0"/>
                <w:numId w:val="7"/>
              </w:numPr>
              <w:overflowPunct/>
              <w:autoSpaceDE/>
              <w:autoSpaceDN/>
              <w:adjustRightInd/>
              <w:spacing w:after="120"/>
              <w:ind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eastAsia="宋体" w:cs="Times New Roman"/>
                <w:color w:val="auto"/>
                <w:sz w:val="20"/>
                <w:szCs w:val="20"/>
                <w:lang w:eastAsia="zh-CN"/>
              </w:rPr>
              <w:t>Option 2: FFS</w:t>
            </w:r>
            <w:r>
              <w:rPr>
                <w:rFonts w:hint="default" w:ascii="Times New Roman" w:hAnsi="Times New Roman" w:cs="Times New Roman" w:eastAsiaTheme="minorEastAsia"/>
                <w:color w:val="auto"/>
                <w:sz w:val="20"/>
                <w:szCs w:val="20"/>
                <w:lang w:val="en-CA" w:eastAsia="zh-CN"/>
              </w:rPr>
              <w:t>.</w:t>
            </w:r>
          </w:p>
          <w:p w14:paraId="2C0757C6">
            <w:pPr>
              <w:rPr>
                <w:rFonts w:hint="default" w:ascii="Times New Roman" w:hAnsi="Times New Roman" w:cs="Times New Roman"/>
                <w:color w:val="auto"/>
                <w:sz w:val="20"/>
                <w:szCs w:val="20"/>
                <w:lang w:val="en-US" w:eastAsia="zh-CN"/>
              </w:rPr>
            </w:pPr>
          </w:p>
          <w:p w14:paraId="4FC33AA0">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 xml:space="preserve">Issue 2-3: Whether report </w:t>
            </w:r>
            <w:r>
              <w:rPr>
                <w:rFonts w:hint="default" w:ascii="Times New Roman" w:hAnsi="Times New Roman" w:cs="Times New Roman"/>
                <w:b/>
                <w:color w:val="auto"/>
                <w:sz w:val="20"/>
                <w:szCs w:val="20"/>
                <w:u w:val="single"/>
                <w:lang w:eastAsia="zh-CN"/>
              </w:rPr>
              <w:t xml:space="preserve">mapping tables should be specified </w:t>
            </w:r>
            <w:r>
              <w:rPr>
                <w:rFonts w:hint="default" w:ascii="Times New Roman" w:hAnsi="Times New Roman" w:cs="Times New Roman"/>
                <w:b/>
                <w:color w:val="auto"/>
                <w:sz w:val="20"/>
                <w:szCs w:val="20"/>
                <w:u w:val="single"/>
                <w:lang w:eastAsia="ko-KR"/>
              </w:rPr>
              <w:t>by UE reporting enhancement for CJT calibration?</w:t>
            </w:r>
          </w:p>
          <w:p w14:paraId="67CDC9B0">
            <w:pPr>
              <w:overflowPunct/>
              <w:autoSpaceDE/>
              <w:adjustRightInd/>
              <w:spacing w:after="12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Way forward:</w:t>
            </w:r>
          </w:p>
          <w:p w14:paraId="5227BD2D">
            <w:pPr>
              <w:pStyle w:val="12"/>
              <w:numPr>
                <w:ilvl w:val="0"/>
                <w:numId w:val="7"/>
              </w:numPr>
              <w:overflowPunct/>
              <w:autoSpaceDE/>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1: Define mapping tables for frequency/delay/phase offset reporting in performance part.</w:t>
            </w:r>
          </w:p>
          <w:p w14:paraId="7D964C10">
            <w:pPr>
              <w:numPr>
                <w:ilvl w:val="0"/>
                <w:numId w:val="0"/>
              </w:numPr>
              <w:overflowPunct/>
              <w:autoSpaceDE/>
              <w:autoSpaceDN/>
              <w:adjustRightInd/>
              <w:snapToGrid w:val="0"/>
              <w:spacing w:after="120"/>
              <w:ind w:left="360" w:leftChars="0"/>
              <w:textAlignment w:val="auto"/>
              <w:rPr>
                <w:rFonts w:hint="default" w:ascii="Times New Roman" w:hAnsi="Times New Roman" w:eastAsia="宋体" w:cs="Times New Roman"/>
                <w:color w:val="auto"/>
                <w:sz w:val="20"/>
                <w:szCs w:val="20"/>
                <w:highlight w:val="none"/>
                <w:vertAlign w:val="baseline"/>
                <w:lang w:val="en-US" w:eastAsia="zh-CN"/>
              </w:rPr>
            </w:pPr>
          </w:p>
        </w:tc>
      </w:tr>
    </w:tbl>
    <w:p w14:paraId="2753A815">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4F708B22">
      <w:pPr>
        <w:tabs>
          <w:tab w:val="left" w:pos="1134"/>
        </w:tabs>
        <w:spacing w:after="180" w:line="240" w:lineRule="exact"/>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RAN1 agreements on UE reporting enhancement for CJT deployments which may have RAN4 impacts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FE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3D45080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color w:val="auto"/>
                <w:sz w:val="20"/>
                <w:szCs w:val="20"/>
                <w:highlight w:val="green"/>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RAN1#116</w:t>
            </w:r>
          </w:p>
          <w:p w14:paraId="69CEF7DE">
            <w:pPr>
              <w:snapToGrid w:val="0"/>
              <w:ind w:left="0" w:firstLine="0"/>
              <w:rPr>
                <w:rFonts w:hint="default" w:ascii="Times New Roman" w:hAnsi="Times New Roman" w:cs="Times New Roman"/>
                <w:bCs/>
                <w:sz w:val="20"/>
                <w:szCs w:val="20"/>
                <w:lang w:val="en-CA"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cs="Times New Roman"/>
                <w:bCs/>
                <w:sz w:val="20"/>
                <w:szCs w:val="20"/>
                <w:lang w:val="en-CA" w:eastAsia="zh-CN"/>
              </w:rPr>
              <w:t xml:space="preserve"> the following use cases are assumed:</w:t>
            </w:r>
          </w:p>
          <w:p w14:paraId="3DBAD2D9">
            <w:pPr>
              <w:numPr>
                <w:ilvl w:val="0"/>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For per-TRP delay offset reporting:</w:t>
            </w:r>
          </w:p>
          <w:p w14:paraId="74002531">
            <w:pPr>
              <w:numPr>
                <w:ilvl w:val="1"/>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Use case 1.1: TRP selection</w:t>
            </w:r>
          </w:p>
          <w:p w14:paraId="5653EC32">
            <w:pPr>
              <w:numPr>
                <w:ilvl w:val="1"/>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Use case 1.2: delay offset compensation for at least one TRP to ensure the CJT-composite delay spread doesn’t exceed a pre-defined dynamic range/threshold</w:t>
            </w:r>
          </w:p>
          <w:p w14:paraId="3A4294A9">
            <w:pPr>
              <w:numPr>
                <w:ilvl w:val="0"/>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For per-TRP frequency offset (FO) reporting:</w:t>
            </w:r>
          </w:p>
          <w:p w14:paraId="78CD3F95">
            <w:pPr>
              <w:numPr>
                <w:ilvl w:val="1"/>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Use case 2.1: TRP selection</w:t>
            </w:r>
          </w:p>
          <w:p w14:paraId="43E56464">
            <w:pPr>
              <w:numPr>
                <w:ilvl w:val="1"/>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 xml:space="preserve">Use case 2.2: per-TRP FO compensation at NW side </w:t>
            </w:r>
          </w:p>
          <w:p w14:paraId="31854F9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0B4A3DF7">
            <w:pPr>
              <w:snapToGrid w:val="0"/>
              <w:ind w:left="0" w:firstLine="0"/>
              <w:rPr>
                <w:rFonts w:hint="default" w:ascii="Times New Roman" w:hAnsi="Times New Roman" w:eastAsia="Calibri" w:cs="Times New Roman"/>
                <w:sz w:val="20"/>
                <w:szCs w:val="20"/>
                <w:highlight w:val="none"/>
              </w:rPr>
            </w:pPr>
            <w:r>
              <w:rPr>
                <w:rFonts w:hint="default" w:ascii="Times New Roman" w:hAnsi="Times New Roman" w:eastAsia="Calibri" w:cs="Times New Roman"/>
                <w:sz w:val="20"/>
                <w:szCs w:val="20"/>
                <w:highlight w:val="none"/>
              </w:rPr>
              <w:t>For the Rel-19 aperiodic standalone CJT calibration reporting, given the N</w:t>
            </w:r>
            <w:r>
              <w:rPr>
                <w:rFonts w:hint="default" w:ascii="Times New Roman" w:hAnsi="Times New Roman" w:eastAsia="Calibri" w:cs="Times New Roman"/>
                <w:sz w:val="20"/>
                <w:szCs w:val="20"/>
                <w:highlight w:val="none"/>
                <w:vertAlign w:val="subscript"/>
              </w:rPr>
              <w:t>TRP</w:t>
            </w:r>
            <w:r>
              <w:rPr>
                <w:rFonts w:hint="default" w:ascii="Times New Roman" w:hAnsi="Times New Roman" w:eastAsia="Calibri" w:cs="Times New Roman"/>
                <w:sz w:val="20"/>
                <w:szCs w:val="20"/>
                <w:highlight w:val="none"/>
              </w:rPr>
              <w:t xml:space="preserve"> configured NZP CSI-RS resources/resource sets and the selected N resources/resource sets, support reporting, in one CSI reporting instance, {(D</w:t>
            </w:r>
            <w:r>
              <w:rPr>
                <w:rFonts w:hint="default" w:ascii="Times New Roman" w:hAnsi="Times New Roman" w:eastAsia="Calibri" w:cs="Times New Roman"/>
                <w:sz w:val="20"/>
                <w:szCs w:val="20"/>
                <w:highlight w:val="none"/>
                <w:vertAlign w:val="subscript"/>
              </w:rPr>
              <w:t>n,offset</w:t>
            </w:r>
            <w:r>
              <w:rPr>
                <w:rFonts w:hint="default" w:ascii="Times New Roman" w:hAnsi="Times New Roman" w:eastAsia="Calibri" w:cs="Times New Roman"/>
                <w:sz w:val="20"/>
                <w:szCs w:val="20"/>
                <w:highlight w:val="none"/>
              </w:rPr>
              <w:t>, d</w:t>
            </w:r>
            <w:r>
              <w:rPr>
                <w:rFonts w:hint="default" w:ascii="Times New Roman" w:hAnsi="Times New Roman" w:eastAsia="Calibri" w:cs="Times New Roman"/>
                <w:sz w:val="20"/>
                <w:szCs w:val="20"/>
                <w:highlight w:val="none"/>
                <w:vertAlign w:val="subscript"/>
              </w:rPr>
              <w:t>n</w:t>
            </w:r>
            <w:r>
              <w:rPr>
                <w:rFonts w:hint="default" w:ascii="Times New Roman" w:hAnsi="Times New Roman" w:eastAsia="Calibri" w:cs="Times New Roman"/>
                <w:sz w:val="20"/>
                <w:szCs w:val="20"/>
                <w:highlight w:val="none"/>
              </w:rPr>
              <w:t>), n=0, 1, …, N – 1} where</w:t>
            </w:r>
          </w:p>
          <w:p w14:paraId="1233875C">
            <w:pPr>
              <w:numPr>
                <w:ilvl w:val="0"/>
                <w:numId w:val="9"/>
              </w:numPr>
              <w:snapToGrid w:val="0"/>
              <w:rPr>
                <w:rFonts w:hint="default" w:ascii="Times New Roman" w:hAnsi="Times New Roman" w:eastAsia="Calibri" w:cs="Times New Roman"/>
                <w:sz w:val="20"/>
                <w:szCs w:val="20"/>
                <w:highlight w:val="none"/>
              </w:rPr>
            </w:pPr>
            <w:r>
              <w:rPr>
                <w:rFonts w:hint="default" w:ascii="Times New Roman" w:hAnsi="Times New Roman" w:eastAsia="Calibri" w:cs="Times New Roman"/>
                <w:sz w:val="20"/>
                <w:szCs w:val="20"/>
                <w:highlight w:val="none"/>
              </w:rPr>
              <w:t>D</w:t>
            </w:r>
            <w:r>
              <w:rPr>
                <w:rFonts w:hint="default" w:ascii="Times New Roman" w:hAnsi="Times New Roman" w:eastAsia="Calibri" w:cs="Times New Roman"/>
                <w:sz w:val="20"/>
                <w:szCs w:val="20"/>
                <w:highlight w:val="none"/>
                <w:vertAlign w:val="subscript"/>
              </w:rPr>
              <w:t>n,offset</w:t>
            </w:r>
            <w:r>
              <w:rPr>
                <w:rFonts w:hint="default" w:ascii="Times New Roman" w:hAnsi="Times New Roman" w:eastAsia="Calibri" w:cs="Times New Roman"/>
                <w:sz w:val="20"/>
                <w:szCs w:val="20"/>
                <w:highlight w:val="none"/>
              </w:rPr>
              <w:t xml:space="preserve"> is a B-bit indicator representing the delay offset associated with the n-th CSI-RS resource/resource set</w:t>
            </w:r>
          </w:p>
          <w:p w14:paraId="64B7B0F2">
            <w:pPr>
              <w:numPr>
                <w:ilvl w:val="1"/>
                <w:numId w:val="9"/>
              </w:numPr>
              <w:snapToGrid w:val="0"/>
              <w:rPr>
                <w:rFonts w:hint="default" w:ascii="Times New Roman" w:hAnsi="Times New Roman" w:eastAsia="Calibri" w:cs="Times New Roman"/>
                <w:sz w:val="20"/>
                <w:szCs w:val="20"/>
                <w:highlight w:val="none"/>
              </w:rPr>
            </w:pPr>
            <w:r>
              <w:rPr>
                <w:rFonts w:hint="default" w:ascii="Times New Roman" w:hAnsi="Times New Roman" w:eastAsia="Calibri" w:cs="Times New Roman"/>
                <w:sz w:val="20"/>
                <w:szCs w:val="20"/>
                <w:highlight w:val="none"/>
              </w:rPr>
              <w:t>For the reference CSI-RS resource/resource set nref, the value of D</w:t>
            </w:r>
            <w:r>
              <w:rPr>
                <w:rFonts w:hint="default" w:ascii="Times New Roman" w:hAnsi="Times New Roman" w:eastAsia="Calibri" w:cs="Times New Roman"/>
                <w:sz w:val="20"/>
                <w:szCs w:val="20"/>
                <w:highlight w:val="none"/>
                <w:vertAlign w:val="subscript"/>
              </w:rPr>
              <w:t>nref,offset</w:t>
            </w:r>
            <w:r>
              <w:rPr>
                <w:rFonts w:hint="default" w:ascii="Times New Roman" w:hAnsi="Times New Roman" w:eastAsia="Calibri" w:cs="Times New Roman"/>
                <w:sz w:val="20"/>
                <w:szCs w:val="20"/>
                <w:highlight w:val="none"/>
              </w:rPr>
              <w:t xml:space="preserve"> is assumed 0 and not reported</w:t>
            </w:r>
          </w:p>
          <w:p w14:paraId="7E2BB3C2">
            <w:pPr>
              <w:numPr>
                <w:ilvl w:val="0"/>
                <w:numId w:val="9"/>
              </w:numPr>
              <w:snapToGrid w:val="0"/>
              <w:rPr>
                <w:rFonts w:hint="default" w:ascii="Times New Roman" w:hAnsi="Times New Roman" w:eastAsia="Calibri" w:cs="Times New Roman"/>
                <w:sz w:val="20"/>
                <w:szCs w:val="20"/>
                <w:highlight w:val="none"/>
              </w:rPr>
            </w:pPr>
            <w:r>
              <w:rPr>
                <w:rFonts w:hint="default" w:ascii="Times New Roman" w:hAnsi="Times New Roman" w:eastAsia="Calibri" w:cs="Times New Roman"/>
                <w:sz w:val="20"/>
                <w:szCs w:val="20"/>
                <w:highlight w:val="none"/>
              </w:rPr>
              <w:t>d</w:t>
            </w:r>
            <w:r>
              <w:rPr>
                <w:rFonts w:hint="default" w:ascii="Times New Roman" w:hAnsi="Times New Roman" w:eastAsia="Calibri" w:cs="Times New Roman"/>
                <w:sz w:val="20"/>
                <w:szCs w:val="20"/>
                <w:highlight w:val="none"/>
                <w:vertAlign w:val="subscript"/>
              </w:rPr>
              <w:t xml:space="preserve">n </w:t>
            </w:r>
            <w:r>
              <w:rPr>
                <w:rFonts w:hint="default" w:ascii="Times New Roman" w:hAnsi="Times New Roman" w:eastAsia="Calibri" w:cs="Times New Roman"/>
                <w:sz w:val="20"/>
                <w:szCs w:val="20"/>
                <w:highlight w:val="none"/>
              </w:rPr>
              <w:t>is a 1-bit indicator associated with the n-th CSI-RS resource/resource set, indicating whether the measured delay offset, plus delay spread, is inside or outside a pre-defined range/interval</w:t>
            </w:r>
          </w:p>
          <w:p w14:paraId="1DC7080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5CCFF703">
            <w:pPr>
              <w:snapToGrid w:val="0"/>
              <w:ind w:left="0" w:firstLine="0"/>
              <w:rPr>
                <w:rFonts w:hint="default" w:ascii="Times New Roman" w:hAnsi="Times New Roman" w:cs="Times New Roman"/>
                <w:bCs/>
                <w:sz w:val="20"/>
                <w:szCs w:val="20"/>
                <w:lang w:val="en-CA"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cs="Times New Roman"/>
                <w:bCs/>
                <w:sz w:val="20"/>
                <w:szCs w:val="20"/>
                <w:lang w:val="en-CA" w:eastAsia="zh-CN"/>
              </w:rPr>
              <w:t xml:space="preserve"> in addition to the already agreed use cases, the following use cases are assumed:</w:t>
            </w:r>
          </w:p>
          <w:p w14:paraId="38347D27">
            <w:pPr>
              <w:numPr>
                <w:ilvl w:val="0"/>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 xml:space="preserve"> For per-TRP DL/UL Rx-Tx phase misalignment reporting: </w:t>
            </w:r>
          </w:p>
          <w:p w14:paraId="5E777F41">
            <w:pPr>
              <w:numPr>
                <w:ilvl w:val="1"/>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Use case 3.1: TRP selection</w:t>
            </w:r>
          </w:p>
          <w:p w14:paraId="51CD21DD">
            <w:pPr>
              <w:numPr>
                <w:ilvl w:val="1"/>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Use case 3.2: per-TRP DL/UL Rx-Tx phase compensation at NW side for reciprocity (e.g. using both CSI-RS and SRS for measurement)</w:t>
            </w:r>
          </w:p>
          <w:p w14:paraId="1232BCB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1AFF6AD7">
            <w:pPr>
              <w:snapToGrid w:val="0"/>
              <w:ind w:left="0" w:firstLine="0"/>
              <w:rPr>
                <w:rFonts w:hint="default" w:ascii="Times New Roman" w:hAnsi="Times New Roman" w:eastAsia="Calibri" w:cs="Times New Roman"/>
                <w:sz w:val="20"/>
                <w:szCs w:val="20"/>
              </w:rPr>
            </w:pPr>
            <w:r>
              <w:rPr>
                <w:rFonts w:hint="default" w:ascii="Times New Roman" w:hAnsi="Times New Roman" w:eastAsia="Calibri" w:cs="Times New Roman"/>
                <w:sz w:val="20"/>
                <w:szCs w:val="20"/>
              </w:rPr>
              <w:t>For the Rel-19 aperiodic standalone CJT calibration reporting, given the N</w:t>
            </w:r>
            <w:r>
              <w:rPr>
                <w:rFonts w:hint="default" w:ascii="Times New Roman" w:hAnsi="Times New Roman" w:eastAsia="Calibri" w:cs="Times New Roman"/>
                <w:sz w:val="20"/>
                <w:szCs w:val="20"/>
                <w:vertAlign w:val="subscript"/>
              </w:rPr>
              <w:t>TRP</w:t>
            </w:r>
            <w:r>
              <w:rPr>
                <w:rFonts w:hint="default" w:ascii="Times New Roman" w:hAnsi="Times New Roman" w:eastAsia="Calibri" w:cs="Times New Roman"/>
                <w:sz w:val="20"/>
                <w:szCs w:val="20"/>
              </w:rPr>
              <w:t xml:space="preserve"> configured NZP CSI-RS resources/resource sets and the selected N resources/resource sets, support reporting, in one CSI reporting instance, {FO</w:t>
            </w:r>
            <w:r>
              <w:rPr>
                <w:rFonts w:hint="default" w:ascii="Times New Roman" w:hAnsi="Times New Roman" w:eastAsia="Calibri" w:cs="Times New Roman"/>
                <w:sz w:val="20"/>
                <w:szCs w:val="20"/>
                <w:vertAlign w:val="subscript"/>
              </w:rPr>
              <w:t>n</w:t>
            </w:r>
            <w:r>
              <w:rPr>
                <w:rFonts w:hint="default" w:ascii="Times New Roman" w:hAnsi="Times New Roman" w:eastAsia="Calibri" w:cs="Times New Roman"/>
                <w:sz w:val="20"/>
                <w:szCs w:val="20"/>
              </w:rPr>
              <w:t xml:space="preserve"> , n=0, 1, …, N – 1, n≠nref}, where FO</w:t>
            </w:r>
            <w:r>
              <w:rPr>
                <w:rFonts w:hint="default" w:ascii="Times New Roman" w:hAnsi="Times New Roman" w:eastAsia="Calibri" w:cs="Times New Roman"/>
                <w:sz w:val="20"/>
                <w:szCs w:val="20"/>
                <w:vertAlign w:val="subscript"/>
              </w:rPr>
              <w:t>n</w:t>
            </w:r>
            <w:r>
              <w:rPr>
                <w:rFonts w:hint="default" w:ascii="Times New Roman" w:hAnsi="Times New Roman" w:eastAsia="Calibri" w:cs="Times New Roman"/>
                <w:sz w:val="20"/>
                <w:szCs w:val="20"/>
              </w:rPr>
              <w:t xml:space="preserve"> denotes the measured frequency offset associated with the n-th CSI-RS resource/resource set relative to the reference CSI-RS resource/resource set nref</w:t>
            </w:r>
          </w:p>
          <w:p w14:paraId="0F37B8D7">
            <w:pPr>
              <w:numPr>
                <w:ilvl w:val="0"/>
                <w:numId w:val="9"/>
              </w:numPr>
              <w:snapToGrid w:val="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For the reference CSI-RS resource/resource set nref, the value of FO</w:t>
            </w:r>
            <w:r>
              <w:rPr>
                <w:rFonts w:hint="default" w:ascii="Times New Roman" w:hAnsi="Times New Roman" w:eastAsia="Calibri" w:cs="Times New Roman"/>
                <w:sz w:val="20"/>
                <w:szCs w:val="20"/>
                <w:vertAlign w:val="subscript"/>
                <w:lang w:eastAsia="zh-CN"/>
              </w:rPr>
              <w:t>nref</w:t>
            </w:r>
            <w:r>
              <w:rPr>
                <w:rFonts w:hint="default" w:ascii="Times New Roman" w:hAnsi="Times New Roman" w:eastAsia="Calibri" w:cs="Times New Roman"/>
                <w:sz w:val="20"/>
                <w:szCs w:val="20"/>
                <w:lang w:eastAsia="zh-CN"/>
              </w:rPr>
              <w:t xml:space="preserve"> is assumed 0 and not reported</w:t>
            </w:r>
          </w:p>
          <w:p w14:paraId="4E1E5A7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103DB59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RAN1#116bis</w:t>
            </w:r>
          </w:p>
          <w:p w14:paraId="2B87BDB8">
            <w:pPr>
              <w:snapToGrid w:val="0"/>
              <w:ind w:left="0" w:firstLine="0"/>
              <w:rPr>
                <w:rFonts w:hint="default" w:ascii="Times New Roman" w:hAnsi="Times New Roman" w:eastAsia="等线" w:cs="Times New Roman"/>
                <w:sz w:val="20"/>
                <w:szCs w:val="20"/>
                <w:lang w:eastAsia="zh-CN"/>
              </w:rPr>
            </w:pPr>
            <w:r>
              <w:rPr>
                <w:rFonts w:hint="default" w:ascii="Times New Roman" w:hAnsi="Times New Roman" w:eastAsia="Calibri" w:cs="Times New Roman"/>
                <w:sz w:val="20"/>
                <w:szCs w:val="20"/>
              </w:rPr>
              <w:t>For the Rel-19 aperiodic standalone CJT calibration reporting, given the N</w:t>
            </w:r>
            <w:r>
              <w:rPr>
                <w:rFonts w:hint="default" w:ascii="Times New Roman" w:hAnsi="Times New Roman" w:eastAsia="Calibri" w:cs="Times New Roman"/>
                <w:sz w:val="20"/>
                <w:szCs w:val="20"/>
                <w:vertAlign w:val="subscript"/>
              </w:rPr>
              <w:t>TRP</w:t>
            </w:r>
            <w:r>
              <w:rPr>
                <w:rFonts w:hint="default" w:ascii="Times New Roman" w:hAnsi="Times New Roman" w:eastAsia="Calibri" w:cs="Times New Roman"/>
                <w:sz w:val="20"/>
                <w:szCs w:val="20"/>
              </w:rPr>
              <w:t xml:space="preserve"> configured NZP CSI-RS resources/resource sets and the selected N resources/resource sets, support reporting, in one CSI reporting instance,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Times New Roman" w:hAnsi="Times New Roman" w:eastAsia="Calibri" w:cs="Times New Roman"/>
                <w:sz w:val="20"/>
                <w:szCs w:val="20"/>
              </w:rPr>
              <w:t xml:space="preserve">, n=0, 1, …, N – 1, n≠nref, </w:t>
            </w:r>
            <w:r>
              <w:rPr>
                <w:rFonts w:hint="default" w:ascii="Symbol" w:hAnsi="Symbol" w:eastAsia="等线" w:cs="Symbol"/>
                <w:sz w:val="20"/>
                <w:szCs w:val="20"/>
                <w:lang w:eastAsia="zh-CN"/>
              </w:rPr>
              <w:t></w:t>
            </w:r>
            <w:r>
              <w:rPr>
                <w:rFonts w:hint="default" w:ascii="Times New Roman" w:hAnsi="Times New Roman" w:eastAsia="等线" w:cs="Times New Roman"/>
                <w:sz w:val="20"/>
                <w:szCs w:val="20"/>
                <w:lang w:eastAsia="zh-CN"/>
              </w:rPr>
              <w:t>=0,1,…</w:t>
            </w:r>
            <w:r>
              <w:rPr>
                <w:rFonts w:hint="default" w:ascii="Symbol" w:hAnsi="Symbol" w:eastAsia="等线" w:cs="Symbol"/>
                <w:sz w:val="20"/>
                <w:szCs w:val="20"/>
                <w:highlight w:val="none"/>
                <w:lang w:eastAsia="zh-CN"/>
              </w:rPr>
              <w:t>,-1</w:t>
            </w:r>
            <w:r>
              <w:rPr>
                <w:rFonts w:hint="default" w:ascii="Times New Roman" w:hAnsi="Times New Roman" w:eastAsia="Calibri" w:cs="Times New Roman"/>
                <w:sz w:val="20"/>
                <w:szCs w:val="20"/>
              </w:rPr>
              <w:t>}, where</w:t>
            </w:r>
            <w:r>
              <w:rPr>
                <w:rFonts w:hint="default" w:ascii="Symbol" w:hAnsi="Symbol" w:eastAsia="Calibri" w:cs="Symbol"/>
                <w:sz w:val="20"/>
                <w:szCs w:val="20"/>
              </w:rPr>
              <w:t xml:space="preserv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Symbol" w:hAnsi="Symbol" w:eastAsia="Calibri" w:cs="Symbol"/>
                <w:sz w:val="20"/>
                <w:szCs w:val="20"/>
              </w:rPr>
              <w:t xml:space="preserve"> </w:t>
            </w:r>
            <w:r>
              <w:rPr>
                <w:rFonts w:hint="default" w:ascii="Times New Roman" w:hAnsi="Times New Roman" w:eastAsia="Calibri" w:cs="Times New Roman"/>
                <w:sz w:val="20"/>
                <w:szCs w:val="20"/>
              </w:rPr>
              <w:t>denotes the measured</w:t>
            </w:r>
            <w:r>
              <w:rPr>
                <w:rFonts w:hint="default" w:ascii="Times New Roman" w:hAnsi="Times New Roman" w:eastAsia="Calibri" w:cs="Times New Roman"/>
                <w:color w:val="FF0000"/>
                <w:sz w:val="20"/>
                <w:szCs w:val="20"/>
              </w:rPr>
              <w:t xml:space="preserve"> </w:t>
            </w:r>
            <w:r>
              <w:rPr>
                <w:rFonts w:hint="default" w:ascii="Times New Roman" w:hAnsi="Times New Roman" w:eastAsia="Calibri" w:cs="Times New Roman"/>
                <w:sz w:val="20"/>
                <w:szCs w:val="20"/>
              </w:rPr>
              <w:t xml:space="preserve">phase offset between the n-th CSI-RS resource/resource set and the reference CSI-RS resource/resource set nref for the </w:t>
            </w:r>
            <w:r>
              <w:rPr>
                <w:rFonts w:hint="default" w:ascii="Symbol" w:hAnsi="Symbol" w:eastAsia="等线" w:cs="Symbol"/>
                <w:sz w:val="20"/>
                <w:szCs w:val="20"/>
                <w:lang w:eastAsia="zh-CN"/>
              </w:rPr>
              <w:t></w:t>
            </w:r>
            <w:r>
              <w:rPr>
                <w:rFonts w:hint="default" w:ascii="Times New Roman" w:hAnsi="Times New Roman" w:eastAsia="Calibri" w:cs="Times New Roman"/>
                <w:sz w:val="20"/>
                <w:szCs w:val="20"/>
              </w:rPr>
              <w:t>-th frequency unit</w:t>
            </w:r>
            <w:r>
              <w:rPr>
                <w:rFonts w:hint="default" w:ascii="Times New Roman" w:hAnsi="Times New Roman" w:eastAsia="等线" w:cs="Times New Roman"/>
                <w:sz w:val="20"/>
                <w:szCs w:val="20"/>
                <w:lang w:eastAsia="zh-CN"/>
              </w:rPr>
              <w:t xml:space="preserve"> </w:t>
            </w:r>
          </w:p>
          <w:p w14:paraId="5798C192">
            <w:pPr>
              <w:numPr>
                <w:ilvl w:val="0"/>
                <w:numId w:val="9"/>
              </w:numPr>
              <w:snapToGrid w:val="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 xml:space="preserve">The value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Symbol" w:hAnsi="Symbol" w:eastAsia="Calibri" w:cs="Symbol"/>
                <w:sz w:val="20"/>
                <w:szCs w:val="20"/>
                <w:lang w:eastAsia="zh-CN"/>
              </w:rPr>
              <w:t xml:space="preserve"> </w:t>
            </w:r>
            <w:r>
              <w:rPr>
                <w:rFonts w:hint="default" w:ascii="Times New Roman" w:hAnsi="Times New Roman" w:eastAsia="Calibri" w:cs="Times New Roman"/>
                <w:sz w:val="20"/>
                <w:szCs w:val="20"/>
                <w:lang w:eastAsia="zh-CN"/>
              </w:rPr>
              <w:t>indicates a uniformly quantized phase between</w:t>
            </w:r>
            <w:r>
              <w:rPr>
                <w:rFonts w:hint="default" w:ascii="Symbol" w:hAnsi="Symbol" w:eastAsia="Calibri" w:cs="Symbol"/>
                <w:sz w:val="20"/>
                <w:szCs w:val="20"/>
                <w:lang w:eastAsia="zh-CN"/>
              </w:rPr>
              <w:t xml:space="preserve"> –A</w:t>
            </w:r>
            <w:r>
              <w:rPr>
                <w:rFonts w:hint="default" w:ascii="Symbol" w:hAnsi="Symbol" w:eastAsia="Calibri" w:cs="Symbol"/>
                <w:sz w:val="20"/>
                <w:szCs w:val="20"/>
                <w:vertAlign w:val="subscript"/>
                <w:lang w:eastAsia="zh-CN"/>
              </w:rPr>
              <w:t></w:t>
            </w:r>
            <w:r>
              <w:rPr>
                <w:rFonts w:hint="default" w:ascii="Symbol" w:hAnsi="Symbol" w:eastAsia="Calibri" w:cs="Symbol"/>
                <w:sz w:val="20"/>
                <w:szCs w:val="20"/>
                <w:lang w:eastAsia="zh-CN"/>
              </w:rPr>
              <w:t xml:space="preserve"> </w:t>
            </w:r>
            <w:r>
              <w:rPr>
                <w:rFonts w:hint="default" w:ascii="Times New Roman" w:hAnsi="Times New Roman" w:eastAsia="Calibri" w:cs="Times New Roman"/>
                <w:sz w:val="20"/>
                <w:szCs w:val="20"/>
                <w:lang w:eastAsia="zh-CN"/>
              </w:rPr>
              <w:t xml:space="preserve">and </w:t>
            </w:r>
            <w:r>
              <w:rPr>
                <w:rFonts w:hint="default" w:ascii="Symbol" w:hAnsi="Symbol" w:eastAsia="Calibri" w:cs="Symbol"/>
                <w:color w:val="000000"/>
                <w:sz w:val="20"/>
                <w:szCs w:val="20"/>
                <w:lang w:eastAsia="zh-CN"/>
              </w:rPr>
              <w:t>A</w:t>
            </w:r>
            <w:r>
              <w:rPr>
                <w:rFonts w:hint="default" w:ascii="Symbol" w:hAnsi="Symbol" w:eastAsia="Calibri" w:cs="Symbol"/>
                <w:color w:val="000000"/>
                <w:sz w:val="20"/>
                <w:szCs w:val="20"/>
                <w:vertAlign w:val="subscript"/>
                <w:lang w:eastAsia="zh-CN"/>
              </w:rPr>
              <w:t></w:t>
            </w:r>
            <w:r>
              <w:rPr>
                <w:rFonts w:hint="default" w:ascii="Symbol" w:hAnsi="Symbol" w:cs="Symbol"/>
                <w:color w:val="000000"/>
                <w:sz w:val="20"/>
                <w:szCs w:val="20"/>
                <w:vertAlign w:val="subscript"/>
                <w:lang w:eastAsia="zh-CN"/>
              </w:rPr>
              <w:t></w:t>
            </w:r>
            <w:r>
              <w:rPr>
                <w:rFonts w:hint="default" w:ascii="Times New Roman" w:hAnsi="Times New Roman" w:cs="Times New Roman"/>
                <w:color w:val="000000"/>
                <w:sz w:val="20"/>
                <w:szCs w:val="20"/>
                <w:lang w:eastAsia="zh-CN"/>
              </w:rPr>
              <w:t>, or 0</w:t>
            </w:r>
            <w:r>
              <w:rPr>
                <w:rFonts w:hint="default" w:ascii="Times New Roman" w:hAnsi="Times New Roman" w:eastAsia="Calibri" w:cs="Times New Roman"/>
                <w:color w:val="000000"/>
                <w:sz w:val="20"/>
                <w:szCs w:val="20"/>
                <w:lang w:eastAsia="zh-CN"/>
              </w:rPr>
              <w:t xml:space="preserve"> and </w:t>
            </w:r>
            <w:r>
              <w:rPr>
                <w:rFonts w:hint="default" w:ascii="Symbol" w:hAnsi="Symbol" w:eastAsia="Calibri" w:cs="Symbol"/>
                <w:color w:val="000000"/>
                <w:sz w:val="20"/>
                <w:szCs w:val="20"/>
                <w:lang w:eastAsia="zh-CN"/>
              </w:rPr>
              <w:t>A</w:t>
            </w:r>
            <w:r>
              <w:rPr>
                <w:rFonts w:hint="default" w:ascii="Symbol" w:hAnsi="Symbol" w:eastAsia="Calibri" w:cs="Symbol"/>
                <w:color w:val="000000"/>
                <w:sz w:val="20"/>
                <w:szCs w:val="20"/>
                <w:vertAlign w:val="subscript"/>
                <w:lang w:eastAsia="zh-CN"/>
              </w:rPr>
              <w:t></w:t>
            </w:r>
            <w:r>
              <w:rPr>
                <w:rFonts w:hint="default" w:ascii="Times New Roman" w:hAnsi="Times New Roman" w:cs="Times New Roman"/>
                <w:color w:val="000000"/>
                <w:sz w:val="20"/>
                <w:szCs w:val="20"/>
                <w:vertAlign w:val="subscript"/>
                <w:lang w:eastAsia="zh-CN"/>
              </w:rPr>
              <w:t></w:t>
            </w:r>
          </w:p>
          <w:p w14:paraId="7FA970C8">
            <w:pPr>
              <w:numPr>
                <w:ilvl w:val="1"/>
                <w:numId w:val="9"/>
              </w:numPr>
              <w:snapToGrid w:val="0"/>
              <w:rPr>
                <w:rFonts w:hint="default" w:ascii="Times New Roman" w:hAnsi="Times New Roman" w:cs="Times New Roman"/>
                <w:sz w:val="20"/>
                <w:szCs w:val="20"/>
                <w:lang w:val="en-CA" w:eastAsia="zh-CN"/>
              </w:rPr>
            </w:pPr>
            <w:r>
              <w:rPr>
                <w:rFonts w:hint="default" w:ascii="Times New Roman" w:hAnsi="Times New Roman" w:eastAsia="Calibri" w:cs="Times New Roman"/>
                <w:sz w:val="20"/>
                <w:szCs w:val="20"/>
                <w:lang w:eastAsia="zh-CN"/>
              </w:rPr>
              <w:t>FFS: supported quantization alphabet(s) (including</w:t>
            </w:r>
            <w:r>
              <w:rPr>
                <w:rFonts w:hint="default" w:ascii="Symbol" w:hAnsi="Symbol" w:eastAsia="Calibri" w:cs="Symbol"/>
                <w:sz w:val="20"/>
                <w:szCs w:val="20"/>
                <w:lang w:eastAsia="zh-CN"/>
              </w:rPr>
              <w:t xml:space="preserve"> A</w:t>
            </w:r>
            <w:r>
              <w:rPr>
                <w:rFonts w:hint="default" w:ascii="Symbol" w:hAnsi="Symbol" w:eastAsia="Calibri" w:cs="Symbol"/>
                <w:sz w:val="20"/>
                <w:szCs w:val="20"/>
                <w:vertAlign w:val="subscript"/>
                <w:lang w:eastAsia="zh-CN"/>
              </w:rPr>
              <w:t></w:t>
            </w:r>
            <w:r>
              <w:rPr>
                <w:rFonts w:hint="default" w:ascii="Times New Roman" w:hAnsi="Times New Roman" w:eastAsia="Calibri" w:cs="Times New Roman"/>
                <w:sz w:val="20"/>
                <w:szCs w:val="20"/>
                <w:lang w:eastAsia="zh-CN"/>
              </w:rPr>
              <w:t xml:space="preserve"> and resolution) for</w:t>
            </w:r>
            <w:r>
              <w:rPr>
                <w:rFonts w:hint="default" w:ascii="Symbol" w:hAnsi="Symbol" w:eastAsia="Calibri" w:cs="Symbol"/>
                <w:sz w:val="20"/>
                <w:szCs w:val="20"/>
                <w:lang w:eastAsia="zh-CN"/>
              </w:rPr>
              <w:t xml:space="preserv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Times New Roman" w:hAnsi="Times New Roman" w:eastAsia="Calibri" w:cs="Times New Roman"/>
                <w:sz w:val="20"/>
                <w:szCs w:val="20"/>
                <w:lang w:eastAsia="zh-CN"/>
              </w:rPr>
              <w:t xml:space="preserve"> </w:t>
            </w:r>
          </w:p>
          <w:p w14:paraId="3783B2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18E0D824">
            <w:pPr>
              <w:snapToGrid w:val="0"/>
              <w:ind w:left="0" w:firstLine="0"/>
              <w:rPr>
                <w:rFonts w:hint="default" w:ascii="Times New Roman" w:hAnsi="Times New Roman" w:cs="Times New Roman"/>
                <w:bCs/>
                <w:sz w:val="20"/>
                <w:szCs w:val="20"/>
                <w:lang w:eastAsia="zh-CN"/>
              </w:rPr>
            </w:pPr>
            <w:r>
              <w:rPr>
                <w:rFonts w:hint="default" w:ascii="Times New Roman" w:hAnsi="Times New Roman" w:eastAsia="Calibri" w:cs="Times New Roman"/>
                <w:sz w:val="20"/>
                <w:szCs w:val="20"/>
              </w:rPr>
              <w:t>For the Rel-19 aperiodic standalone CJT calibration reporting, for a given CJT calibration report of one [or more] CJT calibration report type, the nref is selected by the UE and reported as a part of the CJT calibration report</w:t>
            </w:r>
          </w:p>
          <w:p w14:paraId="281D0A92">
            <w:pPr>
              <w:numPr>
                <w:ilvl w:val="0"/>
                <w:numId w:val="10"/>
              </w:numPr>
              <w:snapToGrid w:val="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Note: CJT calibration report type refers to the Doffset/d report, FO report, and, TDD PO report</w:t>
            </w:r>
          </w:p>
          <w:p w14:paraId="5FF670E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4473EFDF">
            <w:pPr>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rPr>
              <w:t xml:space="preserve">For the Rel-19 aperiodic standalone CJT calibration reporting of </w:t>
            </w:r>
            <w:r>
              <w:rPr>
                <w:rFonts w:hint="default" w:ascii="Times New Roman" w:hAnsi="Times New Roman" w:cs="Times New Roman"/>
                <w:bCs/>
                <w:sz w:val="20"/>
                <w:szCs w:val="20"/>
                <w:lang w:eastAsia="zh-CN"/>
              </w:rPr>
              <w:t>{FO</w:t>
            </w:r>
            <w:r>
              <w:rPr>
                <w:rFonts w:hint="default" w:ascii="Times New Roman" w:hAnsi="Times New Roman" w:cs="Times New Roman"/>
                <w:bCs/>
                <w:sz w:val="20"/>
                <w:szCs w:val="20"/>
                <w:vertAlign w:val="subscript"/>
                <w:lang w:eastAsia="zh-CN"/>
              </w:rPr>
              <w:t>n</w:t>
            </w:r>
            <w:r>
              <w:rPr>
                <w:rFonts w:hint="default" w:ascii="Times New Roman" w:hAnsi="Times New Roman" w:cs="Times New Roman"/>
                <w:bCs/>
                <w:sz w:val="20"/>
                <w:szCs w:val="20"/>
                <w:lang w:eastAsia="zh-CN"/>
              </w:rPr>
              <w:t xml:space="preserve"> , n=0, 1, …, N</w:t>
            </w:r>
            <w:r>
              <w:rPr>
                <w:rFonts w:hint="default" w:ascii="Times New Roman" w:hAnsi="Times New Roman" w:cs="Times New Roman"/>
                <w:bCs/>
                <w:sz w:val="20"/>
                <w:szCs w:val="20"/>
                <w:vertAlign w:val="subscript"/>
                <w:lang w:eastAsia="zh-CN"/>
              </w:rPr>
              <w:t>TRP</w:t>
            </w:r>
            <w:r>
              <w:rPr>
                <w:rFonts w:hint="default" w:ascii="Times New Roman" w:hAnsi="Times New Roman" w:cs="Times New Roman"/>
                <w:bCs/>
                <w:sz w:val="20"/>
                <w:szCs w:val="20"/>
                <w:lang w:eastAsia="zh-CN"/>
              </w:rPr>
              <w:t xml:space="preserve"> – 1, n≠nref}, the value of FO</w:t>
            </w:r>
            <w:r>
              <w:rPr>
                <w:rFonts w:hint="default" w:ascii="Times New Roman" w:hAnsi="Times New Roman" w:cs="Times New Roman"/>
                <w:bCs/>
                <w:sz w:val="20"/>
                <w:szCs w:val="20"/>
                <w:vertAlign w:val="subscript"/>
                <w:lang w:eastAsia="zh-CN"/>
              </w:rPr>
              <w:t>n</w:t>
            </w:r>
            <w:r>
              <w:rPr>
                <w:rFonts w:hint="default" w:ascii="Times New Roman" w:hAnsi="Times New Roman" w:cs="Times New Roman"/>
                <w:bCs/>
                <w:sz w:val="20"/>
                <w:szCs w:val="20"/>
                <w:lang w:eastAsia="zh-CN"/>
              </w:rPr>
              <w:t xml:space="preserve"> </w:t>
            </w:r>
            <w:r>
              <w:rPr>
                <w:rFonts w:hint="default" w:ascii="Times New Roman" w:hAnsi="Times New Roman" w:eastAsia="Calibri" w:cs="Times New Roman"/>
                <w:sz w:val="20"/>
                <w:szCs w:val="20"/>
                <w:lang w:eastAsia="zh-CN"/>
              </w:rPr>
              <w:t xml:space="preserve">indicates a uniformly quantized frequency offset between </w:t>
            </w:r>
            <w:r>
              <w:rPr>
                <w:rFonts w:hint="default" w:ascii="Times New Roman" w:hAnsi="Times New Roman" w:cs="Times New Roman"/>
                <w:sz w:val="20"/>
                <w:szCs w:val="20"/>
                <w:lang w:eastAsia="zh-CN"/>
              </w:rPr>
              <w:t xml:space="preserve">0 and </w:t>
            </w:r>
            <w:r>
              <w:rPr>
                <w:rFonts w:hint="default" w:ascii="Times New Roman" w:hAnsi="Times New Roman" w:eastAsia="Calibri" w:cs="Times New Roman"/>
                <w:sz w:val="20"/>
                <w:szCs w:val="20"/>
                <w:lang w:eastAsia="zh-CN"/>
              </w:rPr>
              <w:t>A</w:t>
            </w:r>
            <w:r>
              <w:rPr>
                <w:rFonts w:hint="default" w:ascii="Times New Roman" w:hAnsi="Times New Roman" w:eastAsia="Calibri" w:cs="Times New Roman"/>
                <w:sz w:val="20"/>
                <w:szCs w:val="20"/>
                <w:vertAlign w:val="subscript"/>
                <w:lang w:eastAsia="zh-CN"/>
              </w:rPr>
              <w:t>FO</w:t>
            </w:r>
            <w:r>
              <w:rPr>
                <w:rFonts w:hint="default" w:ascii="Times New Roman" w:hAnsi="Times New Roman" w:eastAsia="Calibri" w:cs="Times New Roman"/>
                <w:sz w:val="20"/>
                <w:szCs w:val="20"/>
                <w:lang w:eastAsia="zh-CN"/>
              </w:rPr>
              <w:t xml:space="preserve"> </w:t>
            </w:r>
          </w:p>
          <w:p w14:paraId="0817F5CD">
            <w:pPr>
              <w:snapToGrid w:val="0"/>
              <w:ind w:left="0" w:firstLine="0"/>
              <w:rPr>
                <w:rFonts w:hint="default" w:ascii="Times New Roman" w:hAnsi="Times New Roman" w:eastAsia="Calibri" w:cs="Times New Roman"/>
                <w:sz w:val="20"/>
                <w:szCs w:val="20"/>
                <w:lang w:val="en-US" w:eastAsia="zh-CN"/>
              </w:rPr>
            </w:pPr>
          </w:p>
          <w:p w14:paraId="07085C3F">
            <w:pPr>
              <w:widowControl w:val="0"/>
              <w:snapToGrid w:val="0"/>
              <w:ind w:left="0" w:firstLine="0"/>
              <w:rPr>
                <w:rFonts w:hint="default" w:ascii="Times New Roman" w:hAnsi="Times New Roman" w:cs="Times New Roman"/>
                <w:sz w:val="20"/>
                <w:szCs w:val="20"/>
                <w:vertAlign w:val="subscript"/>
                <w:lang w:eastAsia="zh-CN"/>
              </w:rPr>
            </w:pPr>
            <w:r>
              <w:rPr>
                <w:rFonts w:hint="default" w:ascii="Times New Roman" w:hAnsi="Times New Roman" w:eastAsia="Calibri" w:cs="Times New Roman"/>
                <w:sz w:val="20"/>
                <w:szCs w:val="20"/>
              </w:rPr>
              <w:t xml:space="preserve">For the Rel-19 aperiodic standalone CJT calibration reporting, regarding phase offset reporting, </w:t>
            </w:r>
            <w:r>
              <w:rPr>
                <w:rFonts w:hint="default" w:ascii="Times New Roman" w:hAnsi="Times New Roman" w:eastAsia="Calibri" w:cs="Times New Roman"/>
                <w:sz w:val="20"/>
                <w:szCs w:val="20"/>
                <w:lang w:eastAsia="zh-CN"/>
              </w:rPr>
              <w:t xml:space="preserve">the value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Times New Roman" w:hAnsi="Times New Roman" w:eastAsia="Calibri" w:cs="Times New Roman"/>
                <w:sz w:val="20"/>
                <w:szCs w:val="20"/>
                <w:vertAlign w:val="subscript"/>
                <w:lang w:eastAsia="zh-CN"/>
              </w:rPr>
              <w:t>,</w:t>
            </w:r>
            <w:r>
              <w:rPr>
                <w:rFonts w:hint="default" w:ascii="Times New Roman" w:hAnsi="Times New Roman" w:eastAsia="Calibri" w:cs="Times New Roman"/>
                <w:sz w:val="20"/>
                <w:szCs w:val="20"/>
                <w:vertAlign w:val="subscript"/>
              </w:rPr>
              <w:t></w:t>
            </w:r>
            <w:r>
              <w:rPr>
                <w:rFonts w:hint="default" w:ascii="Times New Roman" w:hAnsi="Times New Roman" w:eastAsia="Calibri" w:cs="Times New Roman"/>
                <w:sz w:val="20"/>
                <w:szCs w:val="20"/>
                <w:lang w:eastAsia="zh-CN"/>
              </w:rPr>
              <w:t xml:space="preserve"> indicates a uniformly quantized phase between 0 and</w:t>
            </w:r>
            <w:r>
              <w:rPr>
                <w:rFonts w:hint="default" w:ascii="Symbol" w:hAnsi="Symbol" w:eastAsia="Calibri" w:cs="Symbol"/>
                <w:sz w:val="20"/>
                <w:szCs w:val="20"/>
                <w:lang w:eastAsia="zh-CN"/>
              </w:rPr>
              <w:t xml:space="preserve"> </w:t>
            </w:r>
            <w:r>
              <w:rPr>
                <w:rFonts w:hint="default" w:ascii="Symbol" w:hAnsi="Symbol" w:cs="Symbol"/>
                <w:sz w:val="20"/>
                <w:szCs w:val="20"/>
                <w:lang w:eastAsia="zh-CN"/>
              </w:rPr>
              <w:t>2</w:t>
            </w:r>
          </w:p>
          <w:p w14:paraId="60E01A4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2D32125E">
            <w:pPr>
              <w:widowControl w:val="0"/>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sz w:val="20"/>
                <w:szCs w:val="20"/>
                <w:lang w:eastAsia="zh-CN"/>
              </w:rPr>
              <w:t xml:space="preserve"> the dynamic range and resolution parameters for delay offset reporting </w:t>
            </w:r>
            <w:r>
              <w:rPr>
                <w:rFonts w:hint="default" w:ascii="Times New Roman" w:hAnsi="Times New Roman" w:eastAsia="Calibri" w:cs="Times New Roman"/>
                <w:sz w:val="20"/>
                <w:szCs w:val="20"/>
              </w:rPr>
              <w:t>D</w:t>
            </w:r>
            <w:r>
              <w:rPr>
                <w:rFonts w:hint="default" w:ascii="Times New Roman" w:hAnsi="Times New Roman" w:eastAsia="Calibri" w:cs="Times New Roman"/>
                <w:sz w:val="20"/>
                <w:szCs w:val="20"/>
                <w:vertAlign w:val="subscript"/>
              </w:rPr>
              <w:t>n,offset</w:t>
            </w:r>
            <w:r>
              <w:rPr>
                <w:rFonts w:hint="default" w:ascii="Times New Roman" w:hAnsi="Times New Roman" w:eastAsia="Calibri" w:cs="Times New Roman"/>
                <w:sz w:val="20"/>
                <w:szCs w:val="20"/>
                <w:lang w:eastAsia="zh-CN"/>
              </w:rPr>
              <w:t>, i.e. (A</w:t>
            </w:r>
            <w:r>
              <w:rPr>
                <w:rFonts w:hint="default" w:ascii="Times New Roman" w:hAnsi="Times New Roman" w:eastAsia="Calibri" w:cs="Times New Roman"/>
                <w:sz w:val="20"/>
                <w:szCs w:val="20"/>
                <w:vertAlign w:val="subscript"/>
                <w:lang w:eastAsia="zh-CN"/>
              </w:rPr>
              <w:t>D</w:t>
            </w:r>
            <w:r>
              <w:rPr>
                <w:rFonts w:hint="default" w:ascii="Times New Roman" w:hAnsi="Times New Roman" w:eastAsia="Calibri" w:cs="Times New Roman"/>
                <w:sz w:val="20"/>
                <w:szCs w:val="20"/>
                <w:lang w:eastAsia="zh-CN"/>
              </w:rPr>
              <w:t>, M</w:t>
            </w:r>
            <w:r>
              <w:rPr>
                <w:rFonts w:hint="default" w:ascii="Times New Roman" w:hAnsi="Times New Roman" w:eastAsia="Calibri" w:cs="Times New Roman"/>
                <w:sz w:val="20"/>
                <w:szCs w:val="20"/>
                <w:vertAlign w:val="subscript"/>
                <w:lang w:eastAsia="zh-CN"/>
              </w:rPr>
              <w:t>D</w:t>
            </w:r>
            <w:r>
              <w:rPr>
                <w:rFonts w:hint="default" w:ascii="Times New Roman" w:hAnsi="Times New Roman" w:eastAsia="Calibri" w:cs="Times New Roman"/>
                <w:sz w:val="20"/>
                <w:szCs w:val="20"/>
                <w:lang w:eastAsia="zh-CN"/>
              </w:rPr>
              <w:t>), are NW-configured via higher-layer (RRC) signalling from the following candidate values:</w:t>
            </w:r>
          </w:p>
          <w:p w14:paraId="66A1EF04">
            <w:pPr>
              <w:widowControl w:val="0"/>
              <w:numPr>
                <w:ilvl w:val="0"/>
                <w:numId w:val="11"/>
              </w:numPr>
              <w:snapToGrid w:val="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w:t>
            </w:r>
            <w:r>
              <w:rPr>
                <w:rFonts w:hint="default" w:ascii="Times New Roman" w:hAnsi="Times New Roman" w:cs="Times New Roman"/>
                <w:sz w:val="20"/>
                <w:szCs w:val="20"/>
                <w:highlight w:val="none"/>
                <w:vertAlign w:val="subscript"/>
                <w:lang w:eastAsia="zh-CN"/>
              </w:rPr>
              <w:t>D</w:t>
            </w:r>
            <w:r>
              <w:rPr>
                <w:rFonts w:hint="default" w:ascii="Times New Roman" w:hAnsi="Times New Roman" w:cs="Times New Roman"/>
                <w:sz w:val="20"/>
                <w:szCs w:val="20"/>
                <w:highlight w:val="none"/>
                <w:lang w:eastAsia="zh-CN"/>
              </w:rPr>
              <w:t xml:space="preserve"> ={0.5CP, 0.75CP, CP, 1.5CP, 2CP,</w:t>
            </w:r>
            <w:r>
              <w:rPr>
                <w:rFonts w:hint="eastAsia" w:ascii="Times New Roman" w:hAnsi="Times New Roman" w:cs="Times New Roman"/>
                <w:sz w:val="20"/>
                <w:szCs w:val="20"/>
                <w:highlight w:val="none"/>
                <w:lang w:val="en-US" w:eastAsia="zh-CN"/>
              </w:rPr>
              <w:t>1/4</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 1/12</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 1/24</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cs="Times New Roman"/>
                <w:sz w:val="20"/>
                <w:szCs w:val="20"/>
                <w:highlight w:val="none"/>
                <w:lang w:eastAsia="zh-CN"/>
              </w:rPr>
              <w:t xml:space="preserve"> } where CP and </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cs="Times New Roman"/>
                <w:sz w:val="20"/>
                <w:szCs w:val="20"/>
                <w:highlight w:val="none"/>
                <w:lang w:eastAsia="zh-CN"/>
              </w:rPr>
              <w:t xml:space="preserve">  denote the length of the cyclic prefix according to the current specifications (for normal CP) within a slot and the SCS, respectively</w:t>
            </w:r>
          </w:p>
          <w:p w14:paraId="78B4CFEE">
            <w:pPr>
              <w:widowControl w:val="0"/>
              <w:numPr>
                <w:ilvl w:val="1"/>
                <w:numId w:val="11"/>
              </w:numPr>
              <w:snapToGrid w:val="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Further down-selection of the above candidate values for AD, including the use of a same unit for all supported values</w:t>
            </w:r>
          </w:p>
          <w:p w14:paraId="691DCAAB">
            <w:pPr>
              <w:widowControl w:val="0"/>
              <w:numPr>
                <w:ilvl w:val="0"/>
                <w:numId w:val="11"/>
              </w:numPr>
              <w:snapToGrid w:val="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w:t>
            </w:r>
            <w:r>
              <w:rPr>
                <w:rFonts w:hint="default" w:ascii="Times New Roman" w:hAnsi="Times New Roman" w:cs="Times New Roman"/>
                <w:sz w:val="20"/>
                <w:szCs w:val="20"/>
                <w:vertAlign w:val="subscript"/>
                <w:lang w:eastAsia="zh-CN"/>
              </w:rPr>
              <w:t>D</w:t>
            </w:r>
            <w:r>
              <w:rPr>
                <w:rFonts w:hint="default" w:ascii="Times New Roman" w:hAnsi="Times New Roman" w:cs="Times New Roman"/>
                <w:sz w:val="20"/>
                <w:szCs w:val="20"/>
                <w:lang w:eastAsia="zh-CN"/>
              </w:rPr>
              <w:t xml:space="preserve"> ={32, 64}</w:t>
            </w:r>
          </w:p>
          <w:p w14:paraId="263D2B04">
            <w:pPr>
              <w:widowControl w:val="0"/>
              <w:numPr>
                <w:ilvl w:val="1"/>
                <w:numId w:val="11"/>
              </w:numPr>
              <w:snapToGrid w:val="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If TDD TX/RX timing misalignment report is supported, whether different set of candidate M</w:t>
            </w:r>
            <w:r>
              <w:rPr>
                <w:rFonts w:hint="default" w:ascii="Times New Roman" w:hAnsi="Times New Roman" w:cs="Times New Roman"/>
                <w:sz w:val="20"/>
                <w:szCs w:val="20"/>
                <w:vertAlign w:val="subscript"/>
                <w:lang w:eastAsia="zh-CN"/>
              </w:rPr>
              <w:t>D</w:t>
            </w:r>
            <w:r>
              <w:rPr>
                <w:rFonts w:hint="default" w:ascii="Times New Roman" w:hAnsi="Times New Roman" w:cs="Times New Roman"/>
                <w:sz w:val="20"/>
                <w:szCs w:val="20"/>
                <w:lang w:eastAsia="zh-CN"/>
              </w:rPr>
              <w:t xml:space="preserve"> values is needed</w:t>
            </w:r>
          </w:p>
          <w:p w14:paraId="5E425D47">
            <w:pPr>
              <w:widowControl w:val="0"/>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 xml:space="preserve">In addition, the inside/outside range for the 1-bit indicator </w:t>
            </w:r>
            <w:r>
              <w:rPr>
                <w:rFonts w:hint="default" w:ascii="Times New Roman" w:hAnsi="Times New Roman" w:eastAsia="Calibri" w:cs="Times New Roman"/>
                <w:sz w:val="20"/>
                <w:szCs w:val="20"/>
              </w:rPr>
              <w:t>d</w:t>
            </w:r>
            <w:r>
              <w:rPr>
                <w:rFonts w:hint="default" w:ascii="Times New Roman" w:hAnsi="Times New Roman" w:eastAsia="Calibri" w:cs="Times New Roman"/>
                <w:sz w:val="20"/>
                <w:szCs w:val="20"/>
                <w:vertAlign w:val="subscript"/>
              </w:rPr>
              <w:t>n</w:t>
            </w:r>
            <w:r>
              <w:rPr>
                <w:rFonts w:hint="default" w:ascii="Times New Roman" w:hAnsi="Times New Roman" w:eastAsia="Calibri" w:cs="Times New Roman"/>
                <w:sz w:val="20"/>
                <w:szCs w:val="20"/>
              </w:rPr>
              <w:t xml:space="preserve"> </w:t>
            </w:r>
            <w:r>
              <w:rPr>
                <w:rFonts w:hint="default" w:ascii="Times New Roman" w:hAnsi="Times New Roman" w:eastAsia="Calibri" w:cs="Times New Roman"/>
                <w:sz w:val="20"/>
                <w:szCs w:val="20"/>
                <w:lang w:eastAsia="zh-CN"/>
              </w:rPr>
              <w:t>is equal to [0, CP].</w:t>
            </w:r>
          </w:p>
          <w:p w14:paraId="3A6D0D76">
            <w:pPr>
              <w:widowControl w:val="0"/>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FFS: Further implicit/explicit restriction(s) on candidate value(s) depending on the CSI-RS configuration</w:t>
            </w:r>
          </w:p>
          <w:p w14:paraId="4539779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0A1E66E6">
            <w:pPr>
              <w:widowControl w:val="0"/>
              <w:snapToGrid w:val="0"/>
              <w:ind w:left="0" w:firstLine="0"/>
              <w:rPr>
                <w:rFonts w:hint="default" w:ascii="Times New Roman" w:hAnsi="Times New Roman" w:eastAsia="Calibri" w:cs="Times New Roman"/>
                <w:iCs/>
                <w:sz w:val="20"/>
                <w:szCs w:val="20"/>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iCs/>
                <w:sz w:val="20"/>
                <w:szCs w:val="20"/>
              </w:rPr>
              <w:t xml:space="preserve"> an ‘invalid’ quantization state/hypothesis is supported for frequency offset and phase offset CJT calibration reporting</w:t>
            </w:r>
          </w:p>
          <w:p w14:paraId="01E8EF05">
            <w:pPr>
              <w:widowControl w:val="0"/>
              <w:numPr>
                <w:ilvl w:val="0"/>
                <w:numId w:val="12"/>
              </w:numPr>
              <w:snapToGrid w:val="0"/>
              <w:contextualSpacing/>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 xml:space="preserve">Note: </w:t>
            </w:r>
            <w:r>
              <w:rPr>
                <w:rFonts w:hint="default" w:ascii="Times New Roman" w:hAnsi="Times New Roman" w:eastAsia="Calibri" w:cs="Times New Roman"/>
                <w:iCs/>
                <w:sz w:val="20"/>
                <w:szCs w:val="20"/>
                <w:lang w:eastAsia="zh-CN"/>
              </w:rPr>
              <w:t>already supported as ‘out-of-range’ for the (D</w:t>
            </w:r>
            <w:r>
              <w:rPr>
                <w:rFonts w:hint="default" w:ascii="Times New Roman" w:hAnsi="Times New Roman" w:eastAsia="Calibri" w:cs="Times New Roman"/>
                <w:iCs/>
                <w:sz w:val="20"/>
                <w:szCs w:val="20"/>
                <w:vertAlign w:val="subscript"/>
                <w:lang w:eastAsia="zh-CN"/>
              </w:rPr>
              <w:t>n,offset</w:t>
            </w:r>
            <w:r>
              <w:rPr>
                <w:rFonts w:hint="default" w:ascii="Times New Roman" w:hAnsi="Times New Roman" w:eastAsia="Calibri" w:cs="Times New Roman"/>
                <w:iCs/>
                <w:sz w:val="20"/>
                <w:szCs w:val="20"/>
                <w:lang w:eastAsia="zh-CN"/>
              </w:rPr>
              <w:t>, d</w:t>
            </w:r>
            <w:r>
              <w:rPr>
                <w:rFonts w:hint="default" w:ascii="Times New Roman" w:hAnsi="Times New Roman" w:eastAsia="Calibri" w:cs="Times New Roman"/>
                <w:iCs/>
                <w:sz w:val="20"/>
                <w:szCs w:val="20"/>
                <w:vertAlign w:val="subscript"/>
                <w:lang w:eastAsia="zh-CN"/>
              </w:rPr>
              <w:t>n</w:t>
            </w:r>
            <w:r>
              <w:rPr>
                <w:rFonts w:hint="default" w:ascii="Times New Roman" w:hAnsi="Times New Roman" w:eastAsia="Calibri" w:cs="Times New Roman"/>
                <w:iCs/>
                <w:sz w:val="20"/>
                <w:szCs w:val="20"/>
                <w:lang w:eastAsia="zh-CN"/>
              </w:rPr>
              <w:t>) reporting</w:t>
            </w:r>
          </w:p>
          <w:p w14:paraId="49837074">
            <w:pPr>
              <w:widowControl w:val="0"/>
              <w:numPr>
                <w:ilvl w:val="0"/>
                <w:numId w:val="12"/>
              </w:numPr>
              <w:snapToGrid w:val="0"/>
              <w:contextualSpacing/>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FFS (RAN1#117): The need for a condition/event for ‘invalid’ to be specified as a UE procedure e.g. RSRP-based</w:t>
            </w:r>
          </w:p>
          <w:p w14:paraId="034E53A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6F12EE8B">
            <w:pPr>
              <w:widowControl w:val="0"/>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sz w:val="20"/>
                <w:szCs w:val="20"/>
                <w:lang w:eastAsia="zh-CN"/>
              </w:rPr>
              <w:t xml:space="preserve"> the dynamic range and resolution parameters for frequency offset reporting </w:t>
            </w:r>
            <w:r>
              <w:rPr>
                <w:rFonts w:hint="default" w:ascii="Times New Roman" w:hAnsi="Times New Roman" w:eastAsia="Calibri" w:cs="Times New Roman"/>
                <w:sz w:val="20"/>
                <w:szCs w:val="20"/>
              </w:rPr>
              <w:t>FO</w:t>
            </w:r>
            <w:r>
              <w:rPr>
                <w:rFonts w:hint="default" w:ascii="Times New Roman" w:hAnsi="Times New Roman" w:eastAsia="Calibri" w:cs="Times New Roman"/>
                <w:sz w:val="20"/>
                <w:szCs w:val="20"/>
                <w:vertAlign w:val="subscript"/>
              </w:rPr>
              <w:t>n</w:t>
            </w:r>
            <w:r>
              <w:rPr>
                <w:rFonts w:hint="default" w:ascii="Times New Roman" w:hAnsi="Times New Roman" w:eastAsia="Calibri" w:cs="Times New Roman"/>
                <w:sz w:val="20"/>
                <w:szCs w:val="20"/>
                <w:lang w:eastAsia="zh-CN"/>
              </w:rPr>
              <w:t>, i.e. (A</w:t>
            </w:r>
            <w:r>
              <w:rPr>
                <w:rFonts w:hint="default" w:ascii="Times New Roman" w:hAnsi="Times New Roman" w:eastAsia="Calibri" w:cs="Times New Roman"/>
                <w:sz w:val="20"/>
                <w:szCs w:val="20"/>
                <w:vertAlign w:val="subscript"/>
                <w:lang w:eastAsia="zh-CN"/>
              </w:rPr>
              <w:t>FO</w:t>
            </w:r>
            <w:r>
              <w:rPr>
                <w:rFonts w:hint="default" w:ascii="Times New Roman" w:hAnsi="Times New Roman" w:eastAsia="Calibri" w:cs="Times New Roman"/>
                <w:sz w:val="20"/>
                <w:szCs w:val="20"/>
                <w:lang w:eastAsia="zh-CN"/>
              </w:rPr>
              <w:t>, M</w:t>
            </w:r>
            <w:r>
              <w:rPr>
                <w:rFonts w:hint="default" w:ascii="Times New Roman" w:hAnsi="Times New Roman" w:eastAsia="Calibri" w:cs="Times New Roman"/>
                <w:sz w:val="20"/>
                <w:szCs w:val="20"/>
                <w:vertAlign w:val="subscript"/>
                <w:lang w:eastAsia="zh-CN"/>
              </w:rPr>
              <w:t>FO</w:t>
            </w:r>
            <w:r>
              <w:rPr>
                <w:rFonts w:hint="default" w:ascii="Times New Roman" w:hAnsi="Times New Roman" w:eastAsia="Calibri" w:cs="Times New Roman"/>
                <w:sz w:val="20"/>
                <w:szCs w:val="20"/>
                <w:lang w:eastAsia="zh-CN"/>
              </w:rPr>
              <w:t>), are NW-configured via higher-layer (RRC) signalling from the following candidate values:</w:t>
            </w:r>
          </w:p>
          <w:p w14:paraId="00D0FD81">
            <w:pPr>
              <w:widowControl w:val="0"/>
              <w:numPr>
                <w:ilvl w:val="0"/>
                <w:numId w:val="13"/>
              </w:numPr>
              <w:snapToGrid w:val="0"/>
              <w:contextualSpacing/>
              <w:rPr>
                <w:rFonts w:hint="default" w:ascii="Times New Roman" w:hAnsi="Times New Roman" w:eastAsia="Calibri" w:cs="Times New Roman"/>
                <w:sz w:val="20"/>
                <w:szCs w:val="20"/>
                <w:highlight w:val="none"/>
                <w:lang w:eastAsia="zh-CN"/>
              </w:rPr>
            </w:pPr>
            <w:r>
              <w:rPr>
                <w:rFonts w:hint="default" w:ascii="Times New Roman" w:hAnsi="Times New Roman" w:eastAsia="Calibri" w:cs="Times New Roman"/>
                <w:sz w:val="20"/>
                <w:szCs w:val="20"/>
                <w:highlight w:val="none"/>
                <w:lang w:eastAsia="zh-CN"/>
              </w:rPr>
              <w:t>A</w:t>
            </w:r>
            <w:r>
              <w:rPr>
                <w:rFonts w:hint="default" w:ascii="Times New Roman" w:hAnsi="Times New Roman" w:eastAsia="Calibri" w:cs="Times New Roman"/>
                <w:sz w:val="20"/>
                <w:szCs w:val="20"/>
                <w:highlight w:val="none"/>
                <w:vertAlign w:val="subscript"/>
                <w:lang w:eastAsia="zh-CN"/>
              </w:rPr>
              <w:t>FO</w:t>
            </w:r>
            <w:r>
              <w:rPr>
                <w:rFonts w:hint="default" w:ascii="Times New Roman" w:hAnsi="Times New Roman" w:eastAsia="Calibri" w:cs="Times New Roman"/>
                <w:sz w:val="20"/>
                <w:szCs w:val="20"/>
                <w:highlight w:val="none"/>
                <w:lang w:eastAsia="zh-CN"/>
              </w:rPr>
              <w:t xml:space="preserve"> = {0.01ppm, 0.1ppm, 0.2ppm,</w:t>
            </w:r>
            <w:r>
              <w:rPr>
                <w:rFonts w:hint="default" w:ascii="Symbol" w:hAnsi="Symbol" w:eastAsia="Calibri" w:cs="Symbol"/>
                <w:sz w:val="20"/>
                <w:szCs w:val="20"/>
                <w:highlight w:val="none"/>
                <w:lang w:eastAsia="zh-CN"/>
              </w:rPr>
              <w:t xml:space="preserve"> </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eastAsia="Calibri" w:cs="Times New Roman"/>
                <w:sz w:val="20"/>
                <w:szCs w:val="20"/>
                <w:highlight w:val="none"/>
                <w:lang w:eastAsia="zh-CN"/>
              </w:rPr>
              <w:t xml:space="preserve">, </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eastAsia="Calibri" w:cs="Times New Roman"/>
                <w:sz w:val="20"/>
                <w:szCs w:val="20"/>
                <w:highlight w:val="none"/>
                <w:lang w:eastAsia="zh-CN"/>
              </w:rPr>
              <w:t xml:space="preserve">/2, </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eastAsia="Calibri" w:cs="Times New Roman"/>
                <w:sz w:val="20"/>
                <w:szCs w:val="20"/>
                <w:highlight w:val="none"/>
                <w:lang w:eastAsia="zh-CN"/>
              </w:rPr>
              <w:t>/4,</w:t>
            </w:r>
            <w:r>
              <w:rPr>
                <w:rFonts w:hint="eastAsia" w:ascii="Times New Roman" w:hAnsi="Times New Roman" w:eastAsia="Calibri" w:cs="Times New Roman"/>
                <w:sz w:val="20"/>
                <w:szCs w:val="20"/>
                <w:highlight w:val="none"/>
                <w:lang w:val="en-US" w:eastAsia="zh-CN"/>
              </w:rPr>
              <w:t xml:space="preserve"> </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eastAsia="Calibri" w:cs="Times New Roman"/>
                <w:sz w:val="20"/>
                <w:szCs w:val="20"/>
                <w:highlight w:val="none"/>
                <w:lang w:eastAsia="zh-CN"/>
              </w:rPr>
              <w:t>/8, 1/(4</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1/(8</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1/(16</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1/(32</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1/(512</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where</w:t>
            </w:r>
            <w:r>
              <w:rPr>
                <w:rFonts w:hint="eastAsia" w:ascii="Times New Roman" w:hAnsi="Times New Roman" w:eastAsia="Calibri" w:cs="Times New Roman"/>
                <w:sz w:val="20"/>
                <w:szCs w:val="20"/>
                <w:highlight w:val="none"/>
                <w:lang w:val="en-US" w:eastAsia="zh-CN"/>
              </w:rPr>
              <w:t xml:space="preserve"> </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 xml:space="preserve">f and </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denote the SCS and duration of one OFDM symbol, respectively</w:t>
            </w:r>
          </w:p>
          <w:p w14:paraId="13A58FCD">
            <w:pPr>
              <w:widowControl w:val="0"/>
              <w:numPr>
                <w:ilvl w:val="1"/>
                <w:numId w:val="13"/>
              </w:numPr>
              <w:snapToGrid w:val="0"/>
              <w:contextualSpacing/>
              <w:rPr>
                <w:rFonts w:hint="default" w:ascii="Times New Roman" w:hAnsi="Times New Roman" w:eastAsia="Calibri" w:cs="Times New Roman"/>
                <w:sz w:val="20"/>
                <w:szCs w:val="20"/>
                <w:lang w:eastAsia="zh-CN"/>
              </w:rPr>
            </w:pPr>
            <w:r>
              <w:rPr>
                <w:rFonts w:hint="default" w:ascii="Times New Roman" w:hAnsi="Times New Roman" w:cs="Times New Roman"/>
                <w:sz w:val="20"/>
                <w:szCs w:val="20"/>
                <w:highlight w:val="none"/>
                <w:lang w:eastAsia="zh-CN"/>
              </w:rPr>
              <w:t>FFS: Further down-sel</w:t>
            </w:r>
            <w:r>
              <w:rPr>
                <w:rFonts w:hint="default" w:ascii="Times New Roman" w:hAnsi="Times New Roman" w:cs="Times New Roman"/>
                <w:sz w:val="20"/>
                <w:szCs w:val="20"/>
                <w:lang w:eastAsia="zh-CN"/>
              </w:rPr>
              <w:t>ection of the above candidate values for A</w:t>
            </w:r>
            <w:r>
              <w:rPr>
                <w:rFonts w:hint="default" w:ascii="Times New Roman" w:hAnsi="Times New Roman" w:cs="Times New Roman"/>
                <w:sz w:val="20"/>
                <w:szCs w:val="20"/>
                <w:vertAlign w:val="subscript"/>
                <w:lang w:eastAsia="zh-CN"/>
              </w:rPr>
              <w:t>FO</w:t>
            </w:r>
            <w:r>
              <w:rPr>
                <w:rFonts w:hint="default" w:ascii="Times New Roman" w:hAnsi="Times New Roman" w:cs="Times New Roman"/>
                <w:sz w:val="20"/>
                <w:szCs w:val="20"/>
                <w:lang w:eastAsia="zh-CN"/>
              </w:rPr>
              <w:t>, including the use of a same unit for all supported values</w:t>
            </w:r>
          </w:p>
          <w:p w14:paraId="06598356">
            <w:pPr>
              <w:widowControl w:val="0"/>
              <w:numPr>
                <w:ilvl w:val="0"/>
                <w:numId w:val="13"/>
              </w:numPr>
              <w:snapToGrid w:val="0"/>
              <w:contextualSpacing/>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M</w:t>
            </w:r>
            <w:r>
              <w:rPr>
                <w:rFonts w:hint="default" w:ascii="Times New Roman" w:hAnsi="Times New Roman" w:eastAsia="Calibri" w:cs="Times New Roman"/>
                <w:sz w:val="20"/>
                <w:szCs w:val="20"/>
                <w:vertAlign w:val="subscript"/>
                <w:lang w:eastAsia="zh-CN"/>
              </w:rPr>
              <w:t>FO</w:t>
            </w:r>
            <w:r>
              <w:rPr>
                <w:rFonts w:hint="default" w:ascii="Times New Roman" w:hAnsi="Times New Roman" w:eastAsia="Calibri" w:cs="Times New Roman"/>
                <w:sz w:val="20"/>
                <w:szCs w:val="20"/>
                <w:lang w:eastAsia="zh-CN"/>
              </w:rPr>
              <w:t xml:space="preserve"> = {16,32}</w:t>
            </w:r>
          </w:p>
          <w:p w14:paraId="2FB569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5380760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Calibri" w:cs="Times New Roman"/>
                <w:sz w:val="20"/>
                <w:szCs w:val="20"/>
                <w:lang w:val="en-US"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sz w:val="20"/>
                <w:szCs w:val="20"/>
                <w:lang w:eastAsia="zh-CN"/>
              </w:rPr>
              <w:t xml:space="preserve"> the resolution parameters for</w:t>
            </w:r>
            <w:r>
              <w:rPr>
                <w:rFonts w:hint="default" w:ascii="Symbol" w:hAnsi="Symbol" w:eastAsia="Calibri" w:cs="Symbol"/>
                <w:sz w:val="20"/>
                <w:szCs w:val="20"/>
                <w:lang w:eastAsia="zh-CN"/>
              </w:rPr>
              <w:t xml:space="preserv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Times New Roman" w:hAnsi="Times New Roman" w:eastAsia="Calibri" w:cs="Times New Roman"/>
                <w:sz w:val="20"/>
                <w:szCs w:val="20"/>
                <w:vertAlign w:val="subscript"/>
              </w:rPr>
              <w:t></w:t>
            </w:r>
            <w:r>
              <w:rPr>
                <w:rFonts w:hint="default" w:ascii="Times New Roman" w:hAnsi="Times New Roman" w:eastAsia="Calibri" w:cs="Times New Roman"/>
                <w:sz w:val="20"/>
                <w:szCs w:val="20"/>
                <w:lang w:eastAsia="zh-CN"/>
              </w:rPr>
              <w:t xml:space="preserve">, i.e. </w:t>
            </w:r>
            <w:r>
              <w:rPr>
                <w:rFonts w:hint="default" w:ascii="Symbol" w:hAnsi="Symbol" w:eastAsia="Calibri" w:cs="Symbol"/>
                <w:sz w:val="20"/>
                <w:szCs w:val="20"/>
                <w:lang w:eastAsia="zh-CN"/>
              </w:rPr>
              <w:t>M</w:t>
            </w:r>
            <w:r>
              <w:rPr>
                <w:rFonts w:hint="default" w:ascii="Symbol" w:hAnsi="Symbol" w:eastAsia="Calibri" w:cs="Symbol"/>
                <w:sz w:val="20"/>
                <w:szCs w:val="20"/>
                <w:vertAlign w:val="subscript"/>
                <w:lang w:eastAsia="zh-CN"/>
              </w:rPr>
              <w:t></w:t>
            </w:r>
            <w:r>
              <w:rPr>
                <w:rFonts w:hint="default" w:ascii="Times New Roman" w:hAnsi="Times New Roman" w:eastAsia="Calibri" w:cs="Times New Roman"/>
                <w:sz w:val="20"/>
                <w:szCs w:val="20"/>
                <w:lang w:eastAsia="zh-CN"/>
              </w:rPr>
              <w:t>, are NW-configured via higher-layer (RRC) signalling from the candidate values {16, 32}</w:t>
            </w:r>
            <w:r>
              <w:rPr>
                <w:rFonts w:hint="eastAsia" w:ascii="Times New Roman" w:hAnsi="Times New Roman" w:eastAsia="Calibri" w:cs="Times New Roman"/>
                <w:sz w:val="20"/>
                <w:szCs w:val="20"/>
                <w:lang w:val="en-US" w:eastAsia="zh-CN"/>
              </w:rPr>
              <w:t xml:space="preserve"> </w:t>
            </w:r>
          </w:p>
          <w:p w14:paraId="69570F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Calibri" w:cs="Times New Roman"/>
                <w:sz w:val="20"/>
                <w:szCs w:val="20"/>
                <w:lang w:eastAsia="zh-CN"/>
              </w:rPr>
            </w:pPr>
          </w:p>
          <w:p w14:paraId="46C31A29">
            <w:pPr>
              <w:snapToGrid w:val="0"/>
              <w:ind w:left="0" w:firstLine="0"/>
              <w:rPr>
                <w:rFonts w:hint="default" w:ascii="Times New Roman" w:hAnsi="Times New Roman" w:cs="Times New Roman"/>
                <w:bCs/>
                <w:sz w:val="20"/>
                <w:szCs w:val="20"/>
                <w:lang w:val="en-CA" w:eastAsia="zh-CN"/>
              </w:rPr>
            </w:pPr>
            <w:r>
              <w:rPr>
                <w:rFonts w:hint="default" w:ascii="Times New Roman" w:hAnsi="Times New Roman" w:eastAsia="Calibri" w:cs="Times New Roman"/>
                <w:sz w:val="20"/>
                <w:szCs w:val="20"/>
              </w:rPr>
              <w:t xml:space="preserve">For the Rel-19 aperiodic standalone CJT calibration reporting, in addition to reporting one type of CJT calibration report in one report, at least support reporting </w:t>
            </w:r>
            <w:r>
              <w:rPr>
                <w:rFonts w:hint="default" w:ascii="Times New Roman" w:hAnsi="Times New Roman" w:cs="Times New Roman"/>
                <w:sz w:val="20"/>
                <w:szCs w:val="20"/>
              </w:rPr>
              <w:t>{(D</w:t>
            </w:r>
            <w:r>
              <w:rPr>
                <w:rFonts w:hint="default" w:ascii="Times New Roman" w:hAnsi="Times New Roman" w:cs="Times New Roman"/>
                <w:sz w:val="20"/>
                <w:szCs w:val="20"/>
                <w:vertAlign w:val="subscript"/>
              </w:rPr>
              <w:t>n,offset</w:t>
            </w:r>
            <w:r>
              <w:rPr>
                <w:rFonts w:hint="default" w:ascii="Times New Roman" w:hAnsi="Times New Roman" w:cs="Times New Roman"/>
                <w:sz w:val="20"/>
                <w:szCs w:val="20"/>
              </w:rPr>
              <w:t>, d</w:t>
            </w:r>
            <w:r>
              <w:rPr>
                <w:rFonts w:hint="default" w:ascii="Times New Roman" w:hAnsi="Times New Roman" w:cs="Times New Roman"/>
                <w:sz w:val="20"/>
                <w:szCs w:val="20"/>
                <w:vertAlign w:val="subscript"/>
              </w:rPr>
              <w:t>n</w:t>
            </w:r>
            <w:r>
              <w:rPr>
                <w:rFonts w:hint="default" w:ascii="Times New Roman" w:hAnsi="Times New Roman" w:cs="Times New Roman"/>
                <w:sz w:val="20"/>
                <w:szCs w:val="20"/>
              </w:rPr>
              <w:t>), n=0, 1, …, N</w:t>
            </w:r>
            <w:r>
              <w:rPr>
                <w:rFonts w:hint="default" w:ascii="Times New Roman" w:hAnsi="Times New Roman" w:cs="Times New Roman"/>
                <w:bCs/>
                <w:sz w:val="20"/>
                <w:szCs w:val="20"/>
                <w:vertAlign w:val="subscript"/>
                <w:lang w:eastAsia="zh-CN"/>
              </w:rPr>
              <w:t>TRP</w:t>
            </w:r>
            <w:r>
              <w:rPr>
                <w:rFonts w:hint="default" w:ascii="Times New Roman" w:hAnsi="Times New Roman" w:cs="Times New Roman"/>
                <w:sz w:val="20"/>
                <w:szCs w:val="20"/>
              </w:rPr>
              <w:t xml:space="preserve"> – 1</w:t>
            </w:r>
            <w:r>
              <w:rPr>
                <w:rFonts w:hint="default" w:ascii="Times New Roman" w:hAnsi="Times New Roman" w:eastAsia="Calibri" w:cs="Times New Roman"/>
                <w:sz w:val="20"/>
                <w:szCs w:val="20"/>
              </w:rPr>
              <w:t xml:space="preserve">, </w:t>
            </w:r>
            <w:r>
              <w:rPr>
                <w:rFonts w:hint="default" w:ascii="Times New Roman" w:hAnsi="Times New Roman" w:cs="Times New Roman"/>
                <w:bCs/>
                <w:sz w:val="20"/>
                <w:szCs w:val="20"/>
                <w:lang w:eastAsia="zh-CN"/>
              </w:rPr>
              <w:t>n≠nref1</w:t>
            </w:r>
            <w:r>
              <w:rPr>
                <w:rFonts w:hint="default" w:ascii="Times New Roman" w:hAnsi="Times New Roman" w:cs="Times New Roman"/>
                <w:sz w:val="20"/>
                <w:szCs w:val="20"/>
              </w:rPr>
              <w:t>}</w:t>
            </w:r>
            <w:r>
              <w:rPr>
                <w:rFonts w:hint="default" w:ascii="Times New Roman" w:hAnsi="Times New Roman" w:cs="Times New Roman"/>
                <w:bCs/>
                <w:sz w:val="20"/>
                <w:szCs w:val="20"/>
                <w:lang w:val="en-CA" w:eastAsia="zh-CN"/>
              </w:rPr>
              <w:t xml:space="preserve"> and </w:t>
            </w:r>
            <w:r>
              <w:rPr>
                <w:rFonts w:hint="default" w:ascii="Times New Roman" w:hAnsi="Times New Roman" w:cs="Times New Roman"/>
                <w:bCs/>
                <w:sz w:val="20"/>
                <w:szCs w:val="20"/>
                <w:lang w:eastAsia="zh-CN"/>
              </w:rPr>
              <w:t>{FO</w:t>
            </w:r>
            <w:r>
              <w:rPr>
                <w:rFonts w:hint="default" w:ascii="Times New Roman" w:hAnsi="Times New Roman" w:cs="Times New Roman"/>
                <w:bCs/>
                <w:sz w:val="20"/>
                <w:szCs w:val="20"/>
                <w:vertAlign w:val="subscript"/>
                <w:lang w:eastAsia="zh-CN"/>
              </w:rPr>
              <w:t>n</w:t>
            </w:r>
            <w:r>
              <w:rPr>
                <w:rFonts w:hint="default" w:ascii="Times New Roman" w:hAnsi="Times New Roman" w:cs="Times New Roman"/>
                <w:bCs/>
                <w:sz w:val="20"/>
                <w:szCs w:val="20"/>
                <w:lang w:eastAsia="zh-CN"/>
              </w:rPr>
              <w:t xml:space="preserve"> , n=0, 1, …, N</w:t>
            </w:r>
            <w:r>
              <w:rPr>
                <w:rFonts w:hint="default" w:ascii="Times New Roman" w:hAnsi="Times New Roman" w:cs="Times New Roman"/>
                <w:bCs/>
                <w:sz w:val="20"/>
                <w:szCs w:val="20"/>
                <w:vertAlign w:val="subscript"/>
                <w:lang w:eastAsia="zh-CN"/>
              </w:rPr>
              <w:t>TRP</w:t>
            </w:r>
            <w:r>
              <w:rPr>
                <w:rFonts w:hint="default" w:ascii="Times New Roman" w:hAnsi="Times New Roman" w:cs="Times New Roman"/>
                <w:bCs/>
                <w:sz w:val="20"/>
                <w:szCs w:val="20"/>
                <w:lang w:eastAsia="zh-CN"/>
              </w:rPr>
              <w:t xml:space="preserve"> – 1, n≠nref2} </w:t>
            </w:r>
            <w:r>
              <w:rPr>
                <w:rFonts w:hint="default" w:ascii="Times New Roman" w:hAnsi="Times New Roman" w:cs="Times New Roman"/>
                <w:bCs/>
                <w:sz w:val="20"/>
                <w:szCs w:val="20"/>
                <w:lang w:val="en-CA" w:eastAsia="zh-CN"/>
              </w:rPr>
              <w:t>in one report</w:t>
            </w:r>
          </w:p>
          <w:p w14:paraId="45C51ACC">
            <w:pPr>
              <w:numPr>
                <w:ilvl w:val="0"/>
                <w:numId w:val="14"/>
              </w:numPr>
              <w:snapToGrid w:val="0"/>
              <w:rPr>
                <w:rFonts w:hint="default" w:ascii="Times New Roman" w:hAnsi="Times New Roman" w:cs="Times New Roman"/>
                <w:sz w:val="20"/>
                <w:szCs w:val="20"/>
                <w:lang w:eastAsia="zh-CN"/>
              </w:rPr>
            </w:pPr>
            <w:r>
              <w:rPr>
                <w:rFonts w:hint="default" w:ascii="Times New Roman" w:hAnsi="Times New Roman" w:cs="Times New Roman"/>
                <w:bCs/>
                <w:sz w:val="20"/>
                <w:szCs w:val="20"/>
                <w:lang w:eastAsia="zh-CN"/>
              </w:rPr>
              <w:t>nref1 and nref2 are independently selected and indicated by the UE,</w:t>
            </w:r>
          </w:p>
          <w:p w14:paraId="326F021B">
            <w:pPr>
              <w:numPr>
                <w:ilvl w:val="0"/>
                <w:numId w:val="14"/>
              </w:numPr>
              <w:snapToGrid w:val="0"/>
              <w:rPr>
                <w:rFonts w:hint="default" w:ascii="Times New Roman" w:hAnsi="Times New Roman" w:cs="Times New Roman"/>
                <w:bCs/>
                <w:sz w:val="20"/>
                <w:szCs w:val="20"/>
                <w:lang w:eastAsia="zh-CN"/>
              </w:rPr>
            </w:pPr>
            <w:r>
              <w:rPr>
                <w:rFonts w:hint="default" w:ascii="Times New Roman" w:hAnsi="Times New Roman" w:cs="Times New Roman"/>
                <w:sz w:val="20"/>
                <w:szCs w:val="20"/>
                <w:lang w:eastAsia="zh-CN"/>
              </w:rPr>
              <w:t>O</w:t>
            </w:r>
            <w:r>
              <w:rPr>
                <w:rFonts w:hint="default" w:ascii="Times New Roman" w:hAnsi="Times New Roman" w:cs="Times New Roman"/>
                <w:bCs/>
                <w:sz w:val="20"/>
                <w:szCs w:val="20"/>
                <w:lang w:eastAsia="zh-CN"/>
              </w:rPr>
              <w:t>ne-part UCI</w:t>
            </w:r>
            <w:r>
              <w:rPr>
                <w:rFonts w:hint="default" w:ascii="Times New Roman" w:hAnsi="Times New Roman" w:cs="Times New Roman"/>
                <w:sz w:val="20"/>
                <w:szCs w:val="20"/>
                <w:lang w:eastAsia="zh-CN"/>
              </w:rPr>
              <w:t xml:space="preserve"> is used</w:t>
            </w:r>
          </w:p>
          <w:p w14:paraId="10836C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10D6AF7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color w:val="auto"/>
                <w:sz w:val="20"/>
                <w:szCs w:val="20"/>
                <w:highlight w:val="green"/>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RAN1#117</w:t>
            </w:r>
          </w:p>
          <w:p w14:paraId="0D55FFF5">
            <w:pPr>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sz w:val="20"/>
                <w:szCs w:val="20"/>
                <w:lang w:eastAsia="zh-CN"/>
              </w:rPr>
              <w:t xml:space="preserve"> regarding the dynamic range for delay offset reporting </w:t>
            </w:r>
            <w:r>
              <w:rPr>
                <w:rFonts w:hint="default" w:ascii="Times New Roman" w:hAnsi="Times New Roman" w:eastAsia="Calibri" w:cs="Times New Roman"/>
                <w:sz w:val="20"/>
                <w:szCs w:val="20"/>
              </w:rPr>
              <w:t>D</w:t>
            </w:r>
            <w:r>
              <w:rPr>
                <w:rFonts w:hint="default" w:ascii="Times New Roman" w:hAnsi="Times New Roman" w:eastAsia="Calibri" w:cs="Times New Roman"/>
                <w:sz w:val="20"/>
                <w:szCs w:val="20"/>
                <w:vertAlign w:val="subscript"/>
              </w:rPr>
              <w:t>n,offset</w:t>
            </w:r>
            <w:r>
              <w:rPr>
                <w:rFonts w:hint="default" w:ascii="Times New Roman" w:hAnsi="Times New Roman" w:eastAsia="Calibri" w:cs="Times New Roman"/>
                <w:sz w:val="20"/>
                <w:szCs w:val="20"/>
                <w:lang w:eastAsia="zh-CN"/>
              </w:rPr>
              <w:t>, i.e. A</w:t>
            </w:r>
            <w:r>
              <w:rPr>
                <w:rFonts w:hint="default" w:ascii="Times New Roman" w:hAnsi="Times New Roman" w:eastAsia="Calibri" w:cs="Times New Roman"/>
                <w:sz w:val="20"/>
                <w:szCs w:val="20"/>
                <w:vertAlign w:val="subscript"/>
                <w:lang w:eastAsia="zh-CN"/>
              </w:rPr>
              <w:t>D</w:t>
            </w:r>
            <w:r>
              <w:rPr>
                <w:rFonts w:hint="default" w:ascii="Times New Roman" w:hAnsi="Times New Roman" w:eastAsia="Calibri" w:cs="Times New Roman"/>
                <w:sz w:val="20"/>
                <w:szCs w:val="20"/>
                <w:lang w:eastAsia="zh-CN"/>
              </w:rPr>
              <w:t>, at least support the following values: {0.5CP, CP}</w:t>
            </w:r>
          </w:p>
          <w:p w14:paraId="60344D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33DE66D0">
            <w:pPr>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sz w:val="20"/>
                <w:szCs w:val="20"/>
                <w:lang w:eastAsia="zh-CN"/>
              </w:rPr>
              <w:t xml:space="preserve"> regarding the dynamic range for frequency offset reporting </w:t>
            </w:r>
            <w:r>
              <w:rPr>
                <w:rFonts w:hint="default" w:ascii="Times New Roman" w:hAnsi="Times New Roman" w:eastAsia="Calibri" w:cs="Times New Roman"/>
                <w:sz w:val="20"/>
                <w:szCs w:val="20"/>
              </w:rPr>
              <w:t>FO</w:t>
            </w:r>
            <w:r>
              <w:rPr>
                <w:rFonts w:hint="default" w:ascii="Times New Roman" w:hAnsi="Times New Roman" w:eastAsia="Calibri" w:cs="Times New Roman"/>
                <w:sz w:val="20"/>
                <w:szCs w:val="20"/>
                <w:vertAlign w:val="subscript"/>
              </w:rPr>
              <w:t>n</w:t>
            </w:r>
            <w:r>
              <w:rPr>
                <w:rFonts w:hint="default" w:ascii="Times New Roman" w:hAnsi="Times New Roman" w:eastAsia="Calibri" w:cs="Times New Roman"/>
                <w:sz w:val="20"/>
                <w:szCs w:val="20"/>
                <w:lang w:eastAsia="zh-CN"/>
              </w:rPr>
              <w:t>, i.e. A</w:t>
            </w:r>
            <w:r>
              <w:rPr>
                <w:rFonts w:hint="default" w:ascii="Times New Roman" w:hAnsi="Times New Roman" w:eastAsia="Calibri" w:cs="Times New Roman"/>
                <w:sz w:val="20"/>
                <w:szCs w:val="20"/>
                <w:vertAlign w:val="subscript"/>
                <w:lang w:eastAsia="zh-CN"/>
              </w:rPr>
              <w:t>FO</w:t>
            </w:r>
            <w:r>
              <w:rPr>
                <w:rFonts w:hint="default" w:ascii="Times New Roman" w:hAnsi="Times New Roman" w:eastAsia="Calibri" w:cs="Times New Roman"/>
                <w:sz w:val="20"/>
                <w:szCs w:val="20"/>
                <w:lang w:eastAsia="zh-CN"/>
              </w:rPr>
              <w:t>, at least support the following values: {0.1ppm, 0.2ppm}</w:t>
            </w:r>
          </w:p>
          <w:p w14:paraId="62FCFBC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09A3A84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color w:val="auto"/>
                <w:sz w:val="20"/>
                <w:szCs w:val="20"/>
                <w:highlight w:val="green"/>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w:t>
            </w:r>
            <w:r>
              <w:rPr>
                <w:rFonts w:hint="eastAsia" w:ascii="Times New Roman" w:hAnsi="Times New Roman" w:cs="Times New Roman"/>
                <w:b/>
                <w:bCs/>
                <w:color w:val="auto"/>
                <w:sz w:val="20"/>
                <w:szCs w:val="20"/>
                <w:highlight w:val="green"/>
                <w:vertAlign w:val="baseline"/>
                <w:lang w:val="en-US" w:eastAsia="zh-CN"/>
              </w:rPr>
              <w:t>8</w:t>
            </w:r>
          </w:p>
          <w:p w14:paraId="395221DC">
            <w:pPr>
              <w:snapToGrid w:val="0"/>
              <w:rPr>
                <w:rFonts w:ascii="Times New Roman" w:hAnsi="Times New Roman" w:eastAsia="Calibri"/>
                <w:sz w:val="20"/>
                <w:szCs w:val="20"/>
              </w:rPr>
            </w:pPr>
            <w:r>
              <w:rPr>
                <w:rFonts w:ascii="Times New Roman" w:hAnsi="Times New Roman" w:eastAsia="Calibri"/>
                <w:sz w:val="20"/>
                <w:szCs w:val="20"/>
              </w:rPr>
              <w:t xml:space="preserve">For the Rel-19 aperiodic standalone CJT calibration reporting, regarding the resolution </w:t>
            </w:r>
            <w:r>
              <w:rPr>
                <w:rFonts w:ascii="Times New Roman" w:hAnsi="Times New Roman" w:eastAsia="Calibri"/>
                <w:sz w:val="20"/>
                <w:szCs w:val="20"/>
                <w:lang w:eastAsia="zh-CN"/>
              </w:rPr>
              <w:t xml:space="preserve">for frequency offset reporting </w:t>
            </w:r>
            <w:r>
              <w:rPr>
                <w:rFonts w:ascii="Times New Roman" w:hAnsi="Times New Roman" w:eastAsia="Calibri"/>
                <w:sz w:val="20"/>
                <w:szCs w:val="20"/>
              </w:rPr>
              <w:t>FO</w:t>
            </w:r>
            <w:r>
              <w:rPr>
                <w:rFonts w:ascii="Times New Roman" w:hAnsi="Times New Roman" w:eastAsia="Calibri"/>
                <w:sz w:val="20"/>
                <w:szCs w:val="20"/>
                <w:vertAlign w:val="subscript"/>
              </w:rPr>
              <w:t>n</w:t>
            </w:r>
            <w:r>
              <w:rPr>
                <w:rFonts w:ascii="Times New Roman" w:hAnsi="Times New Roman" w:eastAsia="Calibri"/>
                <w:sz w:val="20"/>
                <w:szCs w:val="20"/>
              </w:rPr>
              <w:t xml:space="preserve">, additionally support </w:t>
            </w:r>
            <w:r>
              <w:rPr>
                <w:rFonts w:ascii="Times New Roman" w:hAnsi="Times New Roman" w:eastAsia="Calibri"/>
                <w:sz w:val="20"/>
                <w:szCs w:val="20"/>
                <w:lang w:eastAsia="zh-CN"/>
              </w:rPr>
              <w:t>M</w:t>
            </w:r>
            <w:r>
              <w:rPr>
                <w:rFonts w:ascii="Times New Roman" w:hAnsi="Times New Roman" w:eastAsia="Calibri"/>
                <w:sz w:val="20"/>
                <w:szCs w:val="20"/>
                <w:vertAlign w:val="subscript"/>
                <w:lang w:eastAsia="zh-CN"/>
              </w:rPr>
              <w:t>FO</w:t>
            </w:r>
            <w:r>
              <w:rPr>
                <w:rFonts w:ascii="Times New Roman" w:hAnsi="Times New Roman" w:eastAsia="Calibri"/>
                <w:sz w:val="20"/>
                <w:szCs w:val="20"/>
                <w:lang w:eastAsia="zh-CN"/>
              </w:rPr>
              <w:t xml:space="preserve"> = 256.</w:t>
            </w:r>
          </w:p>
          <w:p w14:paraId="512AE00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tc>
      </w:tr>
    </w:tbl>
    <w:p w14:paraId="603E650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p>
    <w:p w14:paraId="5B7182BE">
      <w:pPr>
        <w:keepNext w:val="0"/>
        <w:keepLines w:val="0"/>
        <w:pageBreakBefore w:val="0"/>
        <w:widowControl w:val="0"/>
        <w:kinsoku/>
        <w:wordWrap/>
        <w:overflowPunct/>
        <w:topLinePunct w:val="0"/>
        <w:autoSpaceDE/>
        <w:autoSpaceDN/>
        <w:bidi w:val="0"/>
        <w:adjustRightInd/>
        <w:snapToGrid w:val="0"/>
        <w:spacing w:after="180"/>
        <w:ind w:left="0" w:firstLine="0"/>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 xml:space="preserve">According to RAN1 agreements, it can be seen that </w:t>
      </w:r>
      <w:r>
        <w:rPr>
          <w:rFonts w:hint="eastAsia" w:ascii="Times New Roman" w:hAnsi="Times New Roman" w:eastAsia="宋体" w:cs="Times New Roman"/>
          <w:sz w:val="20"/>
          <w:szCs w:val="20"/>
          <w:lang w:val="en-US" w:eastAsia="zh-CN"/>
        </w:rPr>
        <w:t>CJTC</w:t>
      </w:r>
      <w:r>
        <w:rPr>
          <w:rFonts w:hint="default" w:ascii="Times New Roman" w:hAnsi="Times New Roman" w:eastAsia="宋体" w:cs="Times New Roman"/>
          <w:sz w:val="20"/>
          <w:szCs w:val="20"/>
          <w:lang w:val="en-US" w:eastAsia="zh-CN"/>
        </w:rPr>
        <w:t xml:space="preserve"> delay offset reporting, </w:t>
      </w:r>
      <w:r>
        <w:rPr>
          <w:rFonts w:hint="eastAsia" w:ascii="Times New Roman" w:hAnsi="Times New Roman" w:eastAsia="宋体" w:cs="Times New Roman"/>
          <w:sz w:val="20"/>
          <w:szCs w:val="20"/>
          <w:lang w:val="en-US" w:eastAsia="zh-CN"/>
        </w:rPr>
        <w:t>CJTC</w:t>
      </w:r>
      <w:r>
        <w:rPr>
          <w:rFonts w:hint="default" w:ascii="Times New Roman" w:hAnsi="Times New Roman" w:eastAsia="宋体" w:cs="Times New Roman"/>
          <w:sz w:val="20"/>
          <w:szCs w:val="20"/>
          <w:lang w:val="en-US" w:eastAsia="zh-CN"/>
        </w:rPr>
        <w:t xml:space="preserve"> frequency offset (FO) reporting, </w:t>
      </w:r>
      <w:r>
        <w:rPr>
          <w:rFonts w:hint="eastAsia" w:ascii="Times New Roman" w:hAnsi="Times New Roman" w:eastAsia="宋体" w:cs="Times New Roman"/>
          <w:sz w:val="20"/>
          <w:szCs w:val="20"/>
          <w:lang w:val="en-US" w:eastAsia="zh-CN"/>
        </w:rPr>
        <w:t>CJTC</w:t>
      </w:r>
      <w:r>
        <w:rPr>
          <w:rFonts w:hint="default" w:ascii="Times New Roman" w:hAnsi="Times New Roman" w:eastAsia="宋体" w:cs="Times New Roman"/>
          <w:sz w:val="20"/>
          <w:szCs w:val="20"/>
          <w:lang w:val="en-US" w:eastAsia="zh-CN"/>
        </w:rPr>
        <w:t xml:space="preserve"> phase </w:t>
      </w:r>
      <w:r>
        <w:rPr>
          <w:rFonts w:hint="eastAsia" w:ascii="Times New Roman" w:hAnsi="Times New Roman" w:eastAsia="宋体" w:cs="Times New Roman"/>
          <w:sz w:val="20"/>
          <w:szCs w:val="20"/>
          <w:lang w:val="en-US" w:eastAsia="zh-CN"/>
        </w:rPr>
        <w:t>offset</w:t>
      </w:r>
      <w:r>
        <w:rPr>
          <w:rFonts w:hint="default" w:ascii="Times New Roman" w:hAnsi="Times New Roman" w:eastAsia="宋体" w:cs="Times New Roman"/>
          <w:sz w:val="20"/>
          <w:szCs w:val="20"/>
          <w:lang w:val="en-US" w:eastAsia="zh-CN"/>
        </w:rPr>
        <w:t xml:space="preserve"> reporting are </w:t>
      </w:r>
      <w:r>
        <w:rPr>
          <w:rFonts w:hint="default" w:ascii="Times New Roman" w:hAnsi="Times New Roman" w:eastAsia="Calibri" w:cs="Times New Roman"/>
          <w:sz w:val="20"/>
          <w:szCs w:val="20"/>
        </w:rPr>
        <w:t>aperiodic</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Calibri" w:cs="Times New Roman"/>
          <w:sz w:val="20"/>
          <w:szCs w:val="20"/>
        </w:rPr>
        <w:t>reporting</w:t>
      </w:r>
      <w:r>
        <w:rPr>
          <w:rFonts w:hint="eastAsia" w:ascii="Times New Roman" w:hAnsi="Times New Roman" w:eastAsia="宋体" w:cs="Times New Roman"/>
          <w:sz w:val="20"/>
          <w:szCs w:val="20"/>
          <w:lang w:val="en-US" w:eastAsia="zh-CN"/>
        </w:rPr>
        <w:t>. For the impact on RRM performance requirements, more discussion is needed. In Rel-18 MIMO, t</w:t>
      </w:r>
      <w:r>
        <w:rPr>
          <w:rFonts w:hint="default" w:ascii="Times New Roman" w:hAnsi="Times New Roman" w:cs="Times New Roman"/>
          <w:sz w:val="20"/>
          <w:szCs w:val="20"/>
          <w:lang w:eastAsia="zh-CN"/>
        </w:rPr>
        <w:t>ime domain channel property (TDCP) is</w:t>
      </w:r>
      <w:r>
        <w:rPr>
          <w:rFonts w:hint="eastAsia" w:ascii="Times New Roman" w:hAnsi="Times New Roman" w:cs="Times New Roman"/>
          <w:sz w:val="20"/>
          <w:szCs w:val="20"/>
          <w:lang w:val="en-US" w:eastAsia="zh-CN"/>
        </w:rPr>
        <w:t xml:space="preserve"> introduced, which is defined </w:t>
      </w:r>
      <w:r>
        <w:rPr>
          <w:rFonts w:hint="default" w:ascii="Times New Roman" w:hAnsi="Times New Roman" w:cs="Times New Roman"/>
          <w:sz w:val="20"/>
          <w:szCs w:val="20"/>
          <w:lang w:eastAsia="zh-CN"/>
        </w:rPr>
        <w:t xml:space="preserve">as wideband normalized correlation between two CSI-RS transmission occasions, corresponding to CSI-RS resourece(s) from </w:t>
      </w:r>
      <w:r>
        <w:rPr>
          <w:rFonts w:hint="default" w:ascii="Times New Roman" w:hAnsi="Times New Roman" w:cs="Times New Roman"/>
          <w:i/>
          <w:iCs/>
          <w:sz w:val="20"/>
          <w:szCs w:val="20"/>
          <w:lang w:eastAsia="zh-CN"/>
        </w:rPr>
        <w:t>NZP-CSI-RS-ResourceSet(s)</w:t>
      </w:r>
      <w:r>
        <w:rPr>
          <w:rFonts w:hint="default" w:ascii="Times New Roman" w:hAnsi="Times New Roman" w:cs="Times New Roman"/>
          <w:sz w:val="20"/>
          <w:szCs w:val="20"/>
          <w:lang w:eastAsia="zh-CN"/>
        </w:rPr>
        <w:t xml:space="preserve"> configured with higher layer parameter </w:t>
      </w:r>
      <w:r>
        <w:rPr>
          <w:rFonts w:hint="default" w:ascii="Times New Roman" w:hAnsi="Times New Roman" w:cs="Times New Roman"/>
          <w:i/>
          <w:iCs/>
          <w:sz w:val="20"/>
          <w:szCs w:val="20"/>
          <w:lang w:eastAsia="zh-CN"/>
        </w:rPr>
        <w:t>trs-info</w:t>
      </w:r>
      <w:r>
        <w:rPr>
          <w:rFonts w:hint="default" w:ascii="Times New Roman" w:hAnsi="Times New Roman" w:cs="Times New Roman"/>
          <w:sz w:val="20"/>
          <w:szCs w:val="20"/>
          <w:lang w:eastAsia="zh-CN"/>
        </w:rPr>
        <w:t xml:space="preserve">, that are separated by </w:t>
      </w:r>
      <w:r>
        <w:rPr>
          <w:rFonts w:hint="default" w:ascii="Times New Roman" w:hAnsi="Times New Roman" w:cs="Times New Roman"/>
          <w:i/>
          <w:iCs/>
          <w:sz w:val="20"/>
          <w:szCs w:val="20"/>
          <w:lang w:eastAsia="zh-CN"/>
        </w:rPr>
        <w:t>D</w:t>
      </w:r>
      <w:r>
        <w:rPr>
          <w:rFonts w:hint="default" w:ascii="Times New Roman" w:hAnsi="Times New Roman" w:cs="Times New Roman"/>
          <w:i/>
          <w:iCs/>
          <w:sz w:val="20"/>
          <w:szCs w:val="20"/>
          <w:vertAlign w:val="subscript"/>
          <w:lang w:eastAsia="zh-CN"/>
        </w:rPr>
        <w:t>n</w:t>
      </w:r>
      <w:r>
        <w:rPr>
          <w:rFonts w:hint="default" w:ascii="Times New Roman" w:hAnsi="Times New Roman" w:cs="Times New Roman"/>
          <w:sz w:val="20"/>
          <w:szCs w:val="20"/>
          <w:lang w:eastAsia="zh-CN"/>
        </w:rPr>
        <w:t xml:space="preserve"> symbols or slots, depending on the configuration, where </w:t>
      </w:r>
      <w:r>
        <w:rPr>
          <w:rFonts w:hint="default" w:ascii="Times New Roman" w:hAnsi="Times New Roman" w:cs="Times New Roman"/>
          <w:i/>
          <w:iCs/>
          <w:sz w:val="20"/>
          <w:szCs w:val="20"/>
          <w:lang w:eastAsia="zh-CN"/>
        </w:rPr>
        <w:t>D</w:t>
      </w:r>
      <w:r>
        <w:rPr>
          <w:rFonts w:hint="default" w:ascii="Times New Roman" w:hAnsi="Times New Roman" w:cs="Times New Roman"/>
          <w:i/>
          <w:iCs/>
          <w:sz w:val="20"/>
          <w:szCs w:val="20"/>
          <w:vertAlign w:val="subscript"/>
          <w:lang w:eastAsia="zh-CN"/>
        </w:rPr>
        <w:t>n</w:t>
      </w:r>
      <w:r>
        <w:rPr>
          <w:rFonts w:hint="default" w:ascii="Times New Roman" w:hAnsi="Times New Roman" w:cs="Times New Roman"/>
          <w:sz w:val="20"/>
          <w:szCs w:val="20"/>
          <w:lang w:eastAsia="zh-CN"/>
        </w:rPr>
        <w:t xml:space="preserve"> is the n-th delay configured value among </w:t>
      </w:r>
      <w:r>
        <w:rPr>
          <w:rFonts w:hint="default" w:ascii="Times New Roman" w:hAnsi="Times New Roman" w:cs="Times New Roman"/>
          <w:i/>
          <w:iCs/>
          <w:sz w:val="20"/>
          <w:szCs w:val="20"/>
          <w:lang w:eastAsia="zh-CN"/>
        </w:rPr>
        <w:t>DelayD</w:t>
      </w:r>
      <w:r>
        <w:rPr>
          <w:rFonts w:hint="default" w:ascii="Times New Roman" w:hAnsi="Times New Roman" w:cs="Times New Roman"/>
          <w:sz w:val="20"/>
          <w:szCs w:val="20"/>
          <w:lang w:eastAsia="zh-CN"/>
        </w:rPr>
        <w:t xml:space="preserve"> configured delay values {</w:t>
      </w:r>
      <w:r>
        <w:rPr>
          <w:rFonts w:hint="default" w:ascii="Times New Roman" w:hAnsi="Times New Roman" w:cs="Times New Roman"/>
          <w:i/>
          <w:iCs/>
          <w:sz w:val="20"/>
          <w:szCs w:val="20"/>
          <w:lang w:eastAsia="zh-CN"/>
        </w:rPr>
        <w:t>D</w:t>
      </w:r>
      <w:r>
        <w:rPr>
          <w:rFonts w:hint="default" w:ascii="Times New Roman" w:hAnsi="Times New Roman" w:cs="Times New Roman"/>
          <w:sz w:val="20"/>
          <w:szCs w:val="20"/>
          <w:vertAlign w:val="subscript"/>
          <w:lang w:eastAsia="zh-CN"/>
        </w:rPr>
        <w:t>1</w:t>
      </w:r>
      <w:r>
        <w:rPr>
          <w:rFonts w:hint="default" w:ascii="Times New Roman" w:hAnsi="Times New Roman" w:cs="Times New Roman"/>
          <w:sz w:val="20"/>
          <w:szCs w:val="20"/>
          <w:lang w:eastAsia="zh-CN"/>
        </w:rPr>
        <w:t xml:space="preserve">, …, </w:t>
      </w:r>
      <w:r>
        <w:rPr>
          <w:rFonts w:hint="default" w:ascii="Times New Roman" w:hAnsi="Times New Roman" w:cs="Times New Roman"/>
          <w:i/>
          <w:iCs/>
          <w:sz w:val="20"/>
          <w:szCs w:val="20"/>
          <w:lang w:eastAsia="zh-CN"/>
        </w:rPr>
        <w:t>D</w:t>
      </w:r>
      <w:r>
        <w:rPr>
          <w:rFonts w:hint="default" w:ascii="Times New Roman" w:hAnsi="Times New Roman" w:cs="Times New Roman"/>
          <w:sz w:val="20"/>
          <w:szCs w:val="20"/>
          <w:vertAlign w:val="subscript"/>
          <w:lang w:eastAsia="zh-CN"/>
        </w:rPr>
        <w:t>Y</w:t>
      </w:r>
      <w:r>
        <w:rPr>
          <w:rFonts w:hint="default" w:ascii="Times New Roman" w:hAnsi="Times New Roman" w:cs="Times New Roman"/>
          <w:sz w:val="20"/>
          <w:szCs w:val="20"/>
          <w:lang w:eastAsia="zh-CN"/>
        </w:rPr>
        <w:t>} and Y is number of configured delay values.</w:t>
      </w:r>
      <w:r>
        <w:rPr>
          <w:rFonts w:hint="eastAsia" w:ascii="Times New Roman" w:hAnsi="Times New Roman" w:cs="Times New Roman"/>
          <w:sz w:val="20"/>
          <w:szCs w:val="20"/>
          <w:lang w:val="en-US" w:eastAsia="zh-CN"/>
        </w:rPr>
        <w:t xml:space="preserve"> From RRM perspective, TDCP measurement report mapping requirements including amplitude measurement report mapping and phase measurement report mapping are introduced. </w:t>
      </w:r>
      <w:r>
        <w:rPr>
          <w:rFonts w:hint="eastAsia" w:ascii="Times New Roman" w:hAnsi="Times New Roman" w:eastAsia="宋体" w:cs="Times New Roman"/>
          <w:sz w:val="20"/>
          <w:szCs w:val="20"/>
          <w:lang w:val="en-US" w:eastAsia="zh-CN"/>
        </w:rPr>
        <w:t>F</w:t>
      </w:r>
      <w:r>
        <w:rPr>
          <w:rFonts w:hint="default" w:ascii="Times New Roman" w:hAnsi="Times New Roman" w:eastAsia="Calibri" w:cs="Times New Roman"/>
          <w:sz w:val="20"/>
          <w:szCs w:val="20"/>
        </w:rPr>
        <w:t>or</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Calibri" w:cs="Times New Roman"/>
          <w:sz w:val="20"/>
          <w:szCs w:val="20"/>
        </w:rPr>
        <w:t>Rel-19 aperiodic standalone CJT calibration reporting</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 s</w:t>
      </w:r>
      <w:r>
        <w:rPr>
          <w:rFonts w:hint="eastAsia" w:ascii="Times New Roman" w:hAnsi="Times New Roman" w:cs="Times New Roman"/>
          <w:sz w:val="20"/>
          <w:szCs w:val="20"/>
          <w:lang w:val="en-US" w:eastAsia="zh-CN"/>
        </w:rPr>
        <w:t xml:space="preserve">imilar as Rel-18 TDCP, at least report mapping need to be specified. RAN1 has some initial agreements on report range and resolution. For </w:t>
      </w:r>
      <w:r>
        <w:rPr>
          <w:rFonts w:hint="default" w:ascii="Times New Roman" w:hAnsi="Times New Roman" w:eastAsia="Calibri" w:cs="Times New Roman"/>
          <w:sz w:val="20"/>
          <w:szCs w:val="20"/>
          <w:lang w:eastAsia="zh-CN"/>
        </w:rPr>
        <w:t>delay offset reporting</w:t>
      </w:r>
      <w:r>
        <w:rPr>
          <w:rFonts w:hint="eastAsia" w:ascii="Times New Roman" w:hAnsi="Times New Roman" w:eastAsia="Calibri" w:cs="Times New Roman"/>
          <w:sz w:val="20"/>
          <w:szCs w:val="20"/>
          <w:lang w:val="en-US" w:eastAsia="zh-CN"/>
        </w:rPr>
        <w:t xml:space="preserve">, the dynamic range at least </w:t>
      </w:r>
      <w:r>
        <w:rPr>
          <w:rFonts w:hint="default" w:ascii="Times New Roman" w:hAnsi="Times New Roman" w:eastAsia="Calibri" w:cs="Times New Roman"/>
          <w:sz w:val="20"/>
          <w:szCs w:val="20"/>
          <w:lang w:eastAsia="zh-CN"/>
        </w:rPr>
        <w:t>support the following values: {0.5CP, CP}</w:t>
      </w:r>
      <w:r>
        <w:rPr>
          <w:rFonts w:hint="eastAsia" w:ascii="Times New Roman" w:hAnsi="Times New Roman" w:eastAsia="Calibri" w:cs="Times New Roman"/>
          <w:sz w:val="20"/>
          <w:szCs w:val="20"/>
          <w:lang w:val="en-US" w:eastAsia="zh-CN"/>
        </w:rPr>
        <w:t xml:space="preserve">. For </w:t>
      </w:r>
      <w:r>
        <w:rPr>
          <w:rFonts w:hint="default" w:ascii="Times New Roman" w:hAnsi="Times New Roman" w:eastAsia="Calibri" w:cs="Times New Roman"/>
          <w:sz w:val="20"/>
          <w:szCs w:val="20"/>
          <w:lang w:eastAsia="zh-CN"/>
        </w:rPr>
        <w:t>frequency offset reporting</w:t>
      </w:r>
      <w:r>
        <w:rPr>
          <w:rFonts w:hint="eastAsia" w:ascii="Times New Roman" w:hAnsi="Times New Roman" w:eastAsia="Calibri" w:cs="Times New Roman"/>
          <w:sz w:val="20"/>
          <w:szCs w:val="20"/>
          <w:lang w:val="en-US" w:eastAsia="zh-CN"/>
        </w:rPr>
        <w:t xml:space="preserve">, the dynamic range </w:t>
      </w:r>
      <w:r>
        <w:rPr>
          <w:rFonts w:hint="default" w:ascii="Times New Roman" w:hAnsi="Times New Roman" w:eastAsia="Calibri" w:cs="Times New Roman"/>
          <w:sz w:val="20"/>
          <w:szCs w:val="20"/>
          <w:lang w:eastAsia="zh-CN"/>
        </w:rPr>
        <w:t>at least support the following values: {0.1ppm, 0.2ppm}</w:t>
      </w:r>
      <w:r>
        <w:rPr>
          <w:rFonts w:hint="eastAsia" w:ascii="Times New Roman" w:hAnsi="Times New Roman" w:eastAsia="Calibri" w:cs="Times New Roman"/>
          <w:sz w:val="20"/>
          <w:szCs w:val="20"/>
          <w:lang w:val="en-US" w:eastAsia="zh-CN"/>
        </w:rPr>
        <w:t xml:space="preserve">. For </w:t>
      </w:r>
      <w:r>
        <w:rPr>
          <w:rFonts w:hint="default" w:ascii="Times New Roman" w:hAnsi="Times New Roman" w:eastAsia="Calibri" w:cs="Times New Roman"/>
          <w:sz w:val="20"/>
          <w:szCs w:val="20"/>
        </w:rPr>
        <w:t xml:space="preserve">phase offset reporting, </w:t>
      </w:r>
      <w:r>
        <w:rPr>
          <w:rFonts w:hint="eastAsia" w:ascii="Times New Roman" w:hAnsi="Times New Roman" w:eastAsia="宋体" w:cs="Times New Roman"/>
          <w:sz w:val="20"/>
          <w:szCs w:val="20"/>
          <w:lang w:val="en-US" w:eastAsia="zh-CN"/>
        </w:rPr>
        <w:t xml:space="preserve">it </w:t>
      </w:r>
      <w:r>
        <w:rPr>
          <w:rFonts w:hint="default" w:ascii="Times New Roman" w:hAnsi="Times New Roman" w:eastAsia="Calibri" w:cs="Times New Roman"/>
          <w:sz w:val="20"/>
          <w:szCs w:val="20"/>
          <w:lang w:eastAsia="zh-CN"/>
        </w:rPr>
        <w:t>indicates a uniformly quantized phase between 0 and</w:t>
      </w:r>
      <w:r>
        <w:rPr>
          <w:rFonts w:hint="default" w:ascii="Symbol" w:hAnsi="Symbol" w:eastAsia="Calibri" w:cs="Symbol"/>
          <w:sz w:val="20"/>
          <w:szCs w:val="20"/>
          <w:lang w:eastAsia="zh-CN"/>
        </w:rPr>
        <w:t xml:space="preserve"> </w:t>
      </w:r>
      <w:r>
        <w:rPr>
          <w:rFonts w:hint="default" w:ascii="Symbol" w:hAnsi="Symbol" w:cs="Symbol"/>
          <w:sz w:val="20"/>
          <w:szCs w:val="20"/>
          <w:lang w:eastAsia="zh-CN"/>
        </w:rPr>
        <w:t>2</w:t>
      </w:r>
      <w:r>
        <w:rPr>
          <w:rFonts w:hint="eastAsia" w:ascii="Symbol" w:hAnsi="Symbol" w:cs="Symbol"/>
          <w:sz w:val="20"/>
          <w:szCs w:val="20"/>
          <w:lang w:val="en-US" w:eastAsia="zh-CN"/>
        </w:rPr>
        <w:t>.</w:t>
      </w:r>
      <w:r>
        <w:rPr>
          <w:rFonts w:hint="default" w:ascii="Times New Roman" w:hAnsi="Times New Roman" w:cs="Times New Roman"/>
          <w:sz w:val="20"/>
          <w:szCs w:val="20"/>
          <w:lang w:val="en-US" w:eastAsia="zh-CN"/>
        </w:rPr>
        <w:t xml:space="preserve"> For </w:t>
      </w:r>
      <w:r>
        <w:rPr>
          <w:rFonts w:hint="eastAsia" w:ascii="Times New Roman" w:hAnsi="Times New Roman" w:eastAsia="Calibri" w:cs="Times New Roman"/>
          <w:sz w:val="20"/>
          <w:szCs w:val="20"/>
          <w:lang w:val="en-US" w:eastAsia="zh-CN"/>
        </w:rPr>
        <w:t xml:space="preserve">reporting range of these </w:t>
      </w:r>
      <w:r>
        <w:rPr>
          <w:rFonts w:hint="default" w:ascii="Times New Roman" w:hAnsi="Times New Roman" w:cs="Times New Roman"/>
          <w:sz w:val="20"/>
          <w:szCs w:val="20"/>
          <w:lang w:val="en-US" w:eastAsia="zh-CN"/>
        </w:rPr>
        <w:t>report</w:t>
      </w:r>
      <w:r>
        <w:rPr>
          <w:rFonts w:hint="eastAsia" w:ascii="Times New Roman" w:hAnsi="Times New Roman" w:cs="Times New Roman"/>
          <w:sz w:val="20"/>
          <w:szCs w:val="20"/>
          <w:lang w:val="en-US" w:eastAsia="zh-CN"/>
        </w:rPr>
        <w:t xml:space="preserve">ing type, whether other values are supported will be discussed later. </w:t>
      </w:r>
      <w:r>
        <w:rPr>
          <w:rFonts w:hint="default" w:ascii="Times New Roman" w:hAnsi="Times New Roman" w:cs="Times New Roman"/>
          <w:sz w:val="20"/>
          <w:szCs w:val="20"/>
          <w:lang w:val="en-US" w:eastAsia="zh-CN"/>
        </w:rPr>
        <w:t>Regarding</w:t>
      </w:r>
      <w:r>
        <w:rPr>
          <w:rFonts w:hint="eastAsia" w:ascii="Times New Roman" w:hAnsi="Times New Roman" w:cs="Times New Roman"/>
          <w:sz w:val="20"/>
          <w:szCs w:val="20"/>
          <w:lang w:val="en-US" w:eastAsia="zh-CN"/>
        </w:rPr>
        <w:t xml:space="preserve"> </w:t>
      </w:r>
      <w:r>
        <w:rPr>
          <w:rFonts w:hint="default" w:ascii="Times New Roman" w:hAnsi="Times New Roman" w:eastAsia="Calibri" w:cs="Times New Roman"/>
          <w:sz w:val="20"/>
          <w:szCs w:val="20"/>
          <w:lang w:eastAsia="zh-CN"/>
        </w:rPr>
        <w:t>resolution parameters</w:t>
      </w:r>
      <w:r>
        <w:rPr>
          <w:rFonts w:hint="eastAsia" w:ascii="Times New Roman" w:hAnsi="Times New Roman" w:eastAsia="Calibri" w:cs="Times New Roman"/>
          <w:sz w:val="20"/>
          <w:szCs w:val="20"/>
          <w:lang w:val="en-US" w:eastAsia="zh-CN"/>
        </w:rPr>
        <w:t xml:space="preserve">, {16, 32, 256} are supported for frequency offset reporting and </w:t>
      </w:r>
      <w:r>
        <w:rPr>
          <w:rFonts w:hint="default" w:ascii="Times New Roman" w:hAnsi="Times New Roman" w:eastAsia="Calibri" w:cs="Times New Roman"/>
          <w:sz w:val="20"/>
          <w:szCs w:val="20"/>
        </w:rPr>
        <w:t>phase offset reporting</w:t>
      </w:r>
      <w:r>
        <w:rPr>
          <w:rFonts w:hint="eastAsia" w:ascii="Times New Roman" w:hAnsi="Times New Roman" w:eastAsia="宋体" w:cs="Times New Roman"/>
          <w:sz w:val="20"/>
          <w:szCs w:val="20"/>
          <w:lang w:val="en-US" w:eastAsia="zh-CN"/>
        </w:rPr>
        <w:t xml:space="preserve">, and </w:t>
      </w:r>
      <w:r>
        <w:rPr>
          <w:rFonts w:hint="default" w:ascii="Times New Roman" w:hAnsi="Times New Roman" w:cs="Times New Roman"/>
          <w:sz w:val="20"/>
          <w:szCs w:val="20"/>
          <w:lang w:eastAsia="zh-CN"/>
        </w:rPr>
        <w:t>{32, 64}</w:t>
      </w:r>
      <w:r>
        <w:rPr>
          <w:rFonts w:hint="eastAsia" w:ascii="Times New Roman" w:hAnsi="Times New Roman" w:cs="Times New Roman"/>
          <w:sz w:val="20"/>
          <w:szCs w:val="20"/>
          <w:lang w:val="en-US" w:eastAsia="zh-CN"/>
        </w:rPr>
        <w:t xml:space="preserve"> are supported for delay offset reporting. Based on above RAN1 agreements, RAN4 can discuss how to define report mapping for delay offset reporting, frequency offset reporting and phase offset reporting. Except report mapping, accuracy requirements also need to be considered to guarantee measurement performance, but whether and how to specify the requirements are pending on RAN1 further agreements.</w:t>
      </w:r>
    </w:p>
    <w:p w14:paraId="29248E03">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w:t>
      </w:r>
      <w:r>
        <w:rPr>
          <w:rFonts w:hint="eastAsia" w:ascii="Times New Roman" w:hAnsi="Times New Roman" w:eastAsia="宋体" w:cs="Times New Roman"/>
          <w:b/>
          <w:bCs/>
          <w:i/>
          <w:iCs/>
          <w:sz w:val="20"/>
          <w:szCs w:val="20"/>
          <w:lang w:val="en-US" w:eastAsia="zh-CN"/>
        </w:rPr>
        <w:t>UE reporting enhancement for CJT calibration, it is proposed to define accuacy requirements</w:t>
      </w:r>
      <w:r>
        <w:rPr>
          <w:rFonts w:hint="eastAsia" w:ascii="Times New Roman" w:hAnsi="Times New Roman" w:cs="Times New Roman"/>
          <w:b/>
          <w:bCs/>
          <w:i/>
          <w:iCs/>
          <w:sz w:val="20"/>
          <w:szCs w:val="20"/>
          <w:lang w:val="en-US" w:eastAsia="zh-CN"/>
        </w:rPr>
        <w:t>.</w:t>
      </w:r>
    </w:p>
    <w:p w14:paraId="635B46B4">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w:t>
      </w:r>
      <w:r>
        <w:rPr>
          <w:rFonts w:hint="eastAsia" w:ascii="Times New Roman" w:hAnsi="Times New Roman" w:eastAsia="宋体" w:cs="Times New Roman"/>
          <w:b/>
          <w:bCs/>
          <w:i/>
          <w:iCs/>
          <w:sz w:val="20"/>
          <w:szCs w:val="20"/>
          <w:lang w:val="en-US" w:eastAsia="zh-CN"/>
        </w:rPr>
        <w:t xml:space="preserve">UE reporting enhancement for CJT calibration, it is proposed to define report mapping for </w:t>
      </w:r>
      <w:r>
        <w:rPr>
          <w:rFonts w:hint="eastAsia" w:ascii="Times New Roman" w:hAnsi="Times New Roman" w:cs="Times New Roman"/>
          <w:b/>
          <w:bCs/>
          <w:i/>
          <w:iCs/>
          <w:sz w:val="20"/>
          <w:szCs w:val="20"/>
          <w:lang w:val="en-US" w:eastAsia="zh-CN"/>
        </w:rPr>
        <w:t>delay offset reporting, frequency offset reporting and phase offset reporting.</w:t>
      </w:r>
    </w:p>
    <w:p w14:paraId="10218CB6">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2.2 Enhancements for asymmetric DL sTRP/UL mTRP scenarios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D86C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46B0700">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4-1: Whether RRM impacts exist by 2TA enhancement?</w:t>
            </w:r>
          </w:p>
          <w:p w14:paraId="697701EF">
            <w:pPr>
              <w:overflowPunct/>
              <w:autoSpaceDE/>
              <w:autoSpaceDN/>
              <w:adjustRightInd/>
              <w:spacing w:after="12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w:t>
            </w:r>
          </w:p>
          <w:p w14:paraId="37910693">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to update the RRM requirements for 2TA enhancement [for asymmetric DL sTRP/ UL mTRP]</w:t>
            </w:r>
          </w:p>
          <w:p w14:paraId="4A47D14A">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As baseline, the Rel-18 framework can be considered as starting point, and the update is needed to accommodate the new scenario in this WID.</w:t>
            </w:r>
          </w:p>
          <w:p w14:paraId="4A13A1B5">
            <w:pPr>
              <w:pStyle w:val="12"/>
              <w:numPr>
                <w:ilvl w:val="0"/>
                <w:numId w:val="7"/>
              </w:numPr>
              <w:overflowPunct/>
              <w:autoSpaceDE/>
              <w:autoSpaceDN/>
              <w:adjustRightInd/>
              <w:spacing w:after="120"/>
              <w:ind w:left="72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eastAsia="zh-CN"/>
              </w:rPr>
              <w:t>Further discuss the details in the next meeting.</w:t>
            </w:r>
          </w:p>
          <w:p w14:paraId="00B4E529">
            <w:pPr>
              <w:rPr>
                <w:rFonts w:hint="default" w:ascii="Times New Roman" w:hAnsi="Times New Roman" w:cs="Times New Roman"/>
                <w:b/>
                <w:sz w:val="20"/>
                <w:szCs w:val="20"/>
                <w:u w:val="single"/>
                <w:lang w:eastAsia="ko-KR"/>
              </w:rPr>
            </w:pPr>
          </w:p>
          <w:p w14:paraId="59A78CD1">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4-2: RRM core impacts of Active uplink TCI state switching delay for unified TCI?</w:t>
            </w:r>
          </w:p>
          <w:p w14:paraId="47DB68B0">
            <w:pPr>
              <w:overflowPunct/>
              <w:autoSpaceDE/>
              <w:adjustRightInd/>
              <w:spacing w:after="12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Way forward:</w:t>
            </w:r>
          </w:p>
          <w:p w14:paraId="497D1914">
            <w:pPr>
              <w:pStyle w:val="12"/>
              <w:numPr>
                <w:ilvl w:val="0"/>
                <w:numId w:val="7"/>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No RRM impacts on UL TCI state switching delay requirement for unified TCI states.</w:t>
            </w:r>
          </w:p>
          <w:p w14:paraId="63D05E33">
            <w:pPr>
              <w:pStyle w:val="12"/>
              <w:numPr>
                <w:ilvl w:val="0"/>
                <w:numId w:val="7"/>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w:t>
            </w:r>
            <w:r>
              <w:rPr>
                <w:rFonts w:hint="default" w:ascii="Times New Roman" w:hAnsi="Times New Roman" w:cs="Times New Roman"/>
                <w:sz w:val="20"/>
                <w:szCs w:val="20"/>
                <w:lang w:eastAsia="zh-CN"/>
              </w:rPr>
              <w:t xml:space="preserve"> RAN4 to specify UL TCI state switching requirements.</w:t>
            </w:r>
          </w:p>
          <w:p w14:paraId="14BA6F33">
            <w:pPr>
              <w:pStyle w:val="12"/>
              <w:numPr>
                <w:ilvl w:val="0"/>
                <w:numId w:val="7"/>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eastAsia="zh-CN"/>
              </w:rPr>
              <w:t>Option 3: FFS.</w:t>
            </w:r>
          </w:p>
          <w:p w14:paraId="2612EC9B">
            <w:pPr>
              <w:overflowPunct/>
              <w:autoSpaceDE/>
              <w:adjustRightInd/>
              <w:spacing w:after="120"/>
              <w:textAlignment w:val="auto"/>
              <w:rPr>
                <w:rFonts w:hint="default" w:ascii="Times New Roman" w:hAnsi="Times New Roman" w:eastAsia="宋体" w:cs="Times New Roman"/>
                <w:sz w:val="20"/>
                <w:szCs w:val="20"/>
                <w:lang w:eastAsia="zh-CN"/>
              </w:rPr>
            </w:pPr>
          </w:p>
          <w:p w14:paraId="3E442EE4">
            <w:pPr>
              <w:rPr>
                <w:rFonts w:hint="default" w:ascii="Times New Roman" w:hAnsi="Times New Roman" w:cs="Times New Roman"/>
                <w:color w:val="0070C0"/>
                <w:sz w:val="20"/>
                <w:szCs w:val="20"/>
                <w:lang w:eastAsia="zh-CN"/>
              </w:rPr>
            </w:pPr>
          </w:p>
          <w:p w14:paraId="54A51D6B">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4-3: Whether to define RRM core requirements of pathloss offset update?</w:t>
            </w:r>
          </w:p>
          <w:p w14:paraId="0457289A">
            <w:pPr>
              <w:overflowPunct/>
              <w:autoSpaceDE/>
              <w:adjustRightInd/>
              <w:spacing w:after="12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w:t>
            </w:r>
          </w:p>
          <w:p w14:paraId="64805F83">
            <w:pPr>
              <w:pStyle w:val="12"/>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Previous RAN4 agreement captured below still apply and close the issue.</w:t>
            </w:r>
          </w:p>
          <w:tbl>
            <w:tblPr>
              <w:tblStyle w:val="10"/>
              <w:tblW w:w="0" w:type="auto"/>
              <w:tblInd w:w="9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9"/>
            </w:tblGrid>
            <w:tr w14:paraId="062AE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7" w:type="dxa"/>
                </w:tcPr>
                <w:p w14:paraId="6734DDDF">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2-5-5: Whether to define RRM core requirements of pathloss offset update?</w:t>
                  </w:r>
                </w:p>
                <w:p w14:paraId="4BD8E0AB">
                  <w:pPr>
                    <w:snapToGrid w:val="0"/>
                    <w:spacing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Agreement:</w:t>
                  </w:r>
                </w:p>
                <w:p w14:paraId="0E7E2F7B">
                  <w:pPr>
                    <w:snapToGrid w:val="0"/>
                    <w:spacing w:after="120"/>
                    <w:rPr>
                      <w:rFonts w:hint="default" w:ascii="Times New Roman" w:hAnsi="Times New Roman" w:cs="Times New Roman"/>
                      <w:sz w:val="20"/>
                      <w:szCs w:val="20"/>
                      <w:u w:val="single"/>
                      <w:lang w:eastAsia="ko-KR"/>
                    </w:rPr>
                  </w:pPr>
                  <w:r>
                    <w:rPr>
                      <w:rFonts w:hint="default" w:ascii="Times New Roman" w:hAnsi="Times New Roman" w:cs="Times New Roman"/>
                      <w:sz w:val="20"/>
                      <w:szCs w:val="20"/>
                      <w:u w:val="single"/>
                      <w:lang w:eastAsia="ko-KR"/>
                    </w:rPr>
                    <w:t>Whether to define RRM core requirements of pathloss offset update?</w:t>
                  </w:r>
                </w:p>
                <w:p w14:paraId="2B66517D">
                  <w:pPr>
                    <w:pStyle w:val="12"/>
                    <w:numPr>
                      <w:ilvl w:val="0"/>
                      <w:numId w:val="7"/>
                    </w:numPr>
                    <w:overflowPunct/>
                    <w:autoSpaceDE/>
                    <w:adjustRightInd/>
                    <w:snapToGrid w:val="0"/>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Not define RRM requirement for MAC CE decoding delay.</w:t>
                  </w:r>
                </w:p>
                <w:p w14:paraId="34EA846D">
                  <w:pPr>
                    <w:pStyle w:val="12"/>
                    <w:numPr>
                      <w:ilvl w:val="0"/>
                      <w:numId w:val="7"/>
                    </w:numPr>
                    <w:overflowPunct/>
                    <w:autoSpaceDE/>
                    <w:adjustRightInd/>
                    <w:snapToGrid w:val="0"/>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The agreement can be revisited depending on further RAN1 progress.</w:t>
                  </w:r>
                </w:p>
              </w:tc>
            </w:tr>
          </w:tbl>
          <w:p w14:paraId="0CBA2413">
            <w:pPr>
              <w:overflowPunct/>
              <w:autoSpaceDE/>
              <w:autoSpaceDN/>
              <w:adjustRightInd/>
              <w:spacing w:after="120"/>
              <w:textAlignment w:val="auto"/>
              <w:rPr>
                <w:rFonts w:hint="default" w:ascii="Times New Roman" w:hAnsi="Times New Roman" w:eastAsia="宋体" w:cs="Times New Roman"/>
                <w:sz w:val="20"/>
                <w:szCs w:val="20"/>
                <w:lang w:eastAsia="zh-CN"/>
              </w:rPr>
            </w:pPr>
          </w:p>
          <w:p w14:paraId="69C3D0D2">
            <w:pPr>
              <w:pStyle w:val="12"/>
              <w:numPr>
                <w:ilvl w:val="0"/>
                <w:numId w:val="0"/>
              </w:numPr>
              <w:overflowPunct/>
              <w:autoSpaceDE/>
              <w:autoSpaceDN/>
              <w:adjustRightInd/>
              <w:spacing w:after="120"/>
              <w:textAlignment w:val="auto"/>
              <w:rPr>
                <w:rFonts w:hint="default" w:ascii="Times New Roman" w:hAnsi="Times New Roman" w:cs="Times New Roman"/>
                <w:sz w:val="20"/>
                <w:szCs w:val="20"/>
                <w:vertAlign w:val="baseline"/>
                <w:lang w:val="en-US" w:eastAsia="zh-CN"/>
              </w:rPr>
            </w:pPr>
          </w:p>
        </w:tc>
      </w:tr>
    </w:tbl>
    <w:p w14:paraId="5F17FCF1">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lang w:val="en-US" w:eastAsia="zh-CN"/>
        </w:rPr>
      </w:pPr>
    </w:p>
    <w:p w14:paraId="39AB55D0">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Firstly, we would like to discuss the target scenario. According to the WID, </w:t>
      </w:r>
      <w:r>
        <w:rPr>
          <w:rFonts w:hint="default" w:ascii="Times New Roman" w:hAnsi="Times New Roman" w:eastAsia="Times New Roman" w:cs="Times New Roman"/>
          <w:sz w:val="20"/>
          <w:szCs w:val="20"/>
          <w:lang w:val="en-US" w:eastAsia="en-US"/>
        </w:rPr>
        <w:t>asymmetric DL sTRP/UL mTRP deployment scenarios assum</w:t>
      </w:r>
      <w:r>
        <w:rPr>
          <w:rFonts w:hint="eastAsia" w:ascii="Times New Roman" w:hAnsi="Times New Roman" w:cs="Times New Roman"/>
          <w:sz w:val="20"/>
          <w:szCs w:val="20"/>
          <w:lang w:val="en-US" w:eastAsia="zh-CN"/>
        </w:rPr>
        <w:t>e</w:t>
      </w:r>
      <w:r>
        <w:rPr>
          <w:rFonts w:hint="default" w:ascii="Times New Roman" w:hAnsi="Times New Roman" w:eastAsia="Times New Roman" w:cs="Times New Roman"/>
          <w:sz w:val="20"/>
          <w:szCs w:val="20"/>
          <w:lang w:val="en-US" w:eastAsia="en-US"/>
        </w:rPr>
        <w:t xml:space="preserve"> intra-band intra-DU non-co-located mTRP scenarios, without changing existing cell definition or defining a new cell (e.g. UL-only cell), </w:t>
      </w:r>
      <w:r>
        <w:rPr>
          <w:rFonts w:hint="eastAsia" w:ascii="Times New Roman" w:hAnsi="Times New Roman" w:cs="Times New Roman"/>
          <w:sz w:val="20"/>
          <w:szCs w:val="20"/>
          <w:lang w:val="en-US" w:eastAsia="zh-CN"/>
        </w:rPr>
        <w:t xml:space="preserve">and </w:t>
      </w:r>
      <w:r>
        <w:rPr>
          <w:rFonts w:hint="default" w:ascii="Times New Roman" w:hAnsi="Times New Roman" w:eastAsia="Times New Roman" w:cs="Times New Roman"/>
          <w:sz w:val="20"/>
          <w:szCs w:val="20"/>
          <w:lang w:val="en-US" w:eastAsia="en-US"/>
        </w:rPr>
        <w:t>assum</w:t>
      </w:r>
      <w:r>
        <w:rPr>
          <w:rFonts w:hint="eastAsia" w:ascii="Times New Roman" w:hAnsi="Times New Roman" w:cs="Times New Roman"/>
          <w:sz w:val="20"/>
          <w:szCs w:val="20"/>
          <w:lang w:val="en-US" w:eastAsia="zh-CN"/>
        </w:rPr>
        <w:t>e</w:t>
      </w:r>
      <w:r>
        <w:rPr>
          <w:rFonts w:hint="default" w:ascii="Times New Roman" w:hAnsi="Times New Roman" w:eastAsia="Times New Roman" w:cs="Times New Roman"/>
          <w:sz w:val="20"/>
          <w:szCs w:val="20"/>
          <w:lang w:val="en-US" w:eastAsia="en-US"/>
        </w:rPr>
        <w:t xml:space="preserve"> the Rel-17/18 unified TCI framework and fully reus</w:t>
      </w:r>
      <w:r>
        <w:rPr>
          <w:rFonts w:hint="eastAsia" w:ascii="Times New Roman" w:hAnsi="Times New Roman" w:cs="Times New Roman"/>
          <w:sz w:val="20"/>
          <w:szCs w:val="20"/>
          <w:lang w:val="en-US" w:eastAsia="zh-CN"/>
        </w:rPr>
        <w:t>e</w:t>
      </w:r>
      <w:r>
        <w:rPr>
          <w:rFonts w:hint="default" w:ascii="Times New Roman" w:hAnsi="Times New Roman" w:eastAsia="Times New Roman" w:cs="Times New Roman"/>
          <w:sz w:val="20"/>
          <w:szCs w:val="20"/>
          <w:lang w:val="en-US" w:eastAsia="en-US"/>
        </w:rPr>
        <w:t xml:space="preserve"> the legacy QCL/UL spatial relation rules, target FR1 and FR2</w:t>
      </w:r>
      <w:r>
        <w:rPr>
          <w:rFonts w:hint="eastAsia" w:ascii="Times New Roman" w:hAnsi="Times New Roman" w:cs="Times New Roman"/>
          <w:sz w:val="20"/>
          <w:szCs w:val="20"/>
          <w:lang w:val="en-US" w:eastAsia="zh-CN"/>
        </w:rPr>
        <w:t xml:space="preserve">. Since intra-DU is considered, it means that inter-cell is considered. And not </w:t>
      </w:r>
      <w:r>
        <w:rPr>
          <w:rFonts w:hint="default" w:ascii="Times New Roman" w:hAnsi="Times New Roman" w:eastAsia="Times New Roman" w:cs="Times New Roman"/>
          <w:sz w:val="20"/>
          <w:szCs w:val="20"/>
          <w:lang w:val="en-US" w:eastAsia="en-US"/>
        </w:rPr>
        <w:t>changing existing cell definition or defining a new cell (e.g. UL-only cell)</w:t>
      </w:r>
      <w:r>
        <w:rPr>
          <w:rFonts w:hint="eastAsia" w:ascii="Times New Roman" w:hAnsi="Times New Roman" w:cs="Times New Roman"/>
          <w:sz w:val="20"/>
          <w:szCs w:val="20"/>
          <w:lang w:val="en-US" w:eastAsia="zh-CN"/>
        </w:rPr>
        <w:t xml:space="preserve"> means that Pico site can transmit SSB/CSI-RS.</w:t>
      </w:r>
    </w:p>
    <w:p w14:paraId="5962098E">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According to the discussion in last meeting, some companies are not sure whether ICBM is considered. We would like to provide more details. In RAN1 #117 meeting, RAN1 agreed to support ICBM in asymmetric DL sTRP/UL mTRP scenarios as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FB22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9D486F5">
            <w:pPr>
              <w:spacing w:after="180"/>
              <w:rPr>
                <w:rFonts w:ascii="Times New Roman" w:hAnsi="Times New Roman" w:eastAsia="等线" w:cs="Times New Roman"/>
                <w:b/>
                <w:bCs/>
                <w:kern w:val="0"/>
                <w:sz w:val="20"/>
                <w:szCs w:val="20"/>
                <w:lang w:val="en-CA"/>
              </w:rPr>
            </w:pPr>
            <w:r>
              <w:rPr>
                <w:rFonts w:hint="eastAsia" w:ascii="Times New Roman" w:hAnsi="Times New Roman" w:eastAsia="等线" w:cs="Times New Roman"/>
                <w:b/>
                <w:bCs/>
                <w:kern w:val="0"/>
                <w:sz w:val="20"/>
                <w:szCs w:val="20"/>
                <w:lang w:val="en-CA"/>
              </w:rPr>
              <w:t>RAN</w:t>
            </w:r>
            <w:r>
              <w:rPr>
                <w:rFonts w:ascii="Times New Roman" w:hAnsi="Times New Roman" w:eastAsia="等线" w:cs="Times New Roman"/>
                <w:b/>
                <w:bCs/>
                <w:kern w:val="0"/>
                <w:sz w:val="20"/>
                <w:szCs w:val="20"/>
                <w:lang w:val="en-CA"/>
              </w:rPr>
              <w:t>1#117</w:t>
            </w:r>
            <w:r>
              <w:rPr>
                <w:rFonts w:hint="eastAsia" w:ascii="Times New Roman" w:hAnsi="Times New Roman" w:eastAsia="等线" w:cs="Times New Roman"/>
                <w:b/>
                <w:bCs/>
                <w:kern w:val="0"/>
                <w:sz w:val="20"/>
                <w:szCs w:val="20"/>
                <w:lang w:val="en-CA"/>
              </w:rPr>
              <w:t>:</w:t>
            </w:r>
          </w:p>
          <w:p w14:paraId="145EBB87">
            <w:pPr>
              <w:spacing w:after="180"/>
              <w:rPr>
                <w:rFonts w:ascii="Times New Roman" w:hAnsi="Times New Roman" w:eastAsia="等线" w:cs="Times New Roman"/>
                <w:kern w:val="0"/>
                <w:sz w:val="20"/>
                <w:szCs w:val="20"/>
                <w:lang w:val="en-CA"/>
              </w:rPr>
            </w:pPr>
            <w:r>
              <w:rPr>
                <w:rFonts w:hint="eastAsia" w:ascii="Times New Roman" w:hAnsi="Times New Roman" w:eastAsia="等线" w:cs="Times New Roman"/>
                <w:b/>
                <w:bCs/>
                <w:kern w:val="0"/>
                <w:sz w:val="20"/>
                <w:szCs w:val="20"/>
                <w:lang w:val="en-CA"/>
              </w:rPr>
              <w:t>Conclusion</w:t>
            </w:r>
          </w:p>
          <w:p w14:paraId="21FE5373">
            <w:pPr>
              <w:spacing w:after="180"/>
              <w:rPr>
                <w:rFonts w:ascii="Times New Roman" w:hAnsi="Times New Roman" w:eastAsia="等线" w:cs="Times New Roman"/>
                <w:kern w:val="0"/>
                <w:sz w:val="20"/>
                <w:szCs w:val="20"/>
                <w:lang w:val="en-CA"/>
              </w:rPr>
            </w:pPr>
            <w:r>
              <w:rPr>
                <w:rFonts w:ascii="Times New Roman" w:hAnsi="Times New Roman" w:eastAsia="等线" w:cs="Times New Roman"/>
                <w:kern w:val="0"/>
                <w:sz w:val="20"/>
                <w:szCs w:val="20"/>
                <w:highlight w:val="cyan"/>
                <w:lang w:val="en-CA"/>
              </w:rPr>
              <w:t>For the asymmetric DL sTRP/UL mTRP deployment scenario, reuse the rel-17 unified TCI/ICBM and rel-18 unified TCI framework:</w:t>
            </w:r>
          </w:p>
          <w:p w14:paraId="5D6942E5">
            <w:pPr>
              <w:widowControl/>
              <w:numPr>
                <w:ilvl w:val="0"/>
                <w:numId w:val="15"/>
              </w:numPr>
              <w:spacing w:after="180"/>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When rel-17 unified TCI/ICBM is configured:</w:t>
            </w:r>
          </w:p>
          <w:p w14:paraId="2336CF63">
            <w:pPr>
              <w:widowControl/>
              <w:numPr>
                <w:ilvl w:val="1"/>
                <w:numId w:val="15"/>
              </w:numPr>
              <w:spacing w:after="180"/>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For FR1: one joint TCI state or {one DL TCI state + one UL TCI state} can be applied.</w:t>
            </w:r>
          </w:p>
          <w:p w14:paraId="4DBFF167">
            <w:pPr>
              <w:widowControl/>
              <w:numPr>
                <w:ilvl w:val="1"/>
                <w:numId w:val="15"/>
              </w:numPr>
              <w:spacing w:after="180"/>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For FR2: {one DL TCI state + one UL TCI state} can be applied.</w:t>
            </w:r>
          </w:p>
          <w:p w14:paraId="5C21996C">
            <w:pPr>
              <w:widowControl/>
              <w:numPr>
                <w:ilvl w:val="0"/>
                <w:numId w:val="15"/>
              </w:numPr>
              <w:spacing w:after="180"/>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When rel-18 unified TCI is configured:</w:t>
            </w:r>
          </w:p>
          <w:p w14:paraId="6E10774B">
            <w:pPr>
              <w:widowControl/>
              <w:numPr>
                <w:ilvl w:val="1"/>
                <w:numId w:val="15"/>
              </w:numPr>
              <w:spacing w:after="180"/>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For FR1: up to two joint TCI states or {one DL TCI state + up to two UL TCI state} can be applied.</w:t>
            </w:r>
          </w:p>
          <w:p w14:paraId="287EC392">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vertAlign w:val="baseline"/>
                <w:lang w:val="en-US" w:eastAsia="zh-CN"/>
              </w:rPr>
            </w:pPr>
            <w:r>
              <w:rPr>
                <w:rFonts w:ascii="Times New Roman" w:hAnsi="Times New Roman" w:eastAsia="等线" w:cs="Times New Roman"/>
                <w:kern w:val="0"/>
                <w:sz w:val="20"/>
                <w:szCs w:val="22"/>
                <w:lang w:val="en-CA"/>
              </w:rPr>
              <w:t>For FR2: {one DL TCI state + up to two UL TCI states} can be applied.</w:t>
            </w:r>
          </w:p>
        </w:tc>
      </w:tr>
    </w:tbl>
    <w:p w14:paraId="4C2440FF">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 </w:t>
      </w:r>
    </w:p>
    <w:p w14:paraId="220FC817">
      <w:pPr>
        <w:snapToGrid w:val="0"/>
        <w:spacing w:before="120" w:beforeLines="50" w:line="288" w:lineRule="auto"/>
        <w:jc w:val="both"/>
        <w:rPr>
          <w:rFonts w:hint="default" w:ascii="Times New Roman" w:hAnsi="Times New Roman" w:cs="Times New Roman"/>
          <w:sz w:val="20"/>
          <w:szCs w:val="20"/>
        </w:rPr>
      </w:pPr>
      <w:r>
        <w:rPr>
          <w:rFonts w:hint="eastAsia" w:ascii="Times New Roman" w:hAnsi="Times New Roman" w:cs="Times New Roman"/>
          <w:sz w:val="20"/>
          <w:szCs w:val="20"/>
          <w:lang w:val="en-US" w:eastAsia="zh-CN"/>
        </w:rPr>
        <w:t>From deployment point of view, ICBM is in use since normal TRP instead of UL-only TRP are deloyed i</w:t>
      </w:r>
      <w:r>
        <w:rPr>
          <w:rFonts w:hint="default" w:ascii="Times New Roman" w:hAnsi="Times New Roman" w:cs="Times New Roman"/>
          <w:sz w:val="20"/>
          <w:szCs w:val="20"/>
        </w:rPr>
        <w:t>n</w:t>
      </w:r>
      <w:r>
        <w:rPr>
          <w:rFonts w:hint="eastAsia" w:ascii="Times New Roman" w:hAnsi="Times New Roman" w:cs="Times New Roman"/>
          <w:sz w:val="20"/>
          <w:szCs w:val="20"/>
          <w:lang w:val="en-US" w:eastAsia="zh-CN"/>
        </w:rPr>
        <w:t xml:space="preserve"> our </w:t>
      </w:r>
      <w:r>
        <w:rPr>
          <w:rFonts w:hint="default" w:ascii="Times New Roman" w:hAnsi="Times New Roman" w:cs="Times New Roman"/>
          <w:sz w:val="20"/>
          <w:szCs w:val="20"/>
        </w:rPr>
        <w:t xml:space="preserve"> HetNet deployment</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rPr>
        <w:t xml:space="preserve"> </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rPr>
        <w:t>s shown in Fig.</w:t>
      </w:r>
      <w:r>
        <w:rPr>
          <w:rFonts w:hint="eastAsia" w:ascii="Times New Roman" w:hAnsi="Times New Roman" w:cs="Times New Roman"/>
          <w:sz w:val="20"/>
          <w:szCs w:val="20"/>
          <w:lang w:val="en-US" w:eastAsia="zh-CN"/>
        </w:rPr>
        <w:t>1</w:t>
      </w:r>
      <w:r>
        <w:rPr>
          <w:rFonts w:hint="default" w:ascii="Times New Roman" w:hAnsi="Times New Roman" w:cs="Times New Roman"/>
          <w:sz w:val="20"/>
          <w:szCs w:val="20"/>
        </w:rPr>
        <w:t>, indoor pico site and outdoor macro site are deployed at same frequency with different cell ID (Inter-cell). Both indoor pico site and outdoor macro site transmit SSBs with different cell ID. In this case, when asymmetric DL and UL transmission scheme is used, SSBs from indoor pico site can be used as pathloss RS when UE transmits PUCCH and PUSCH to indoor pico site. The pathloss is more accurate compared to calculate pathloss from RSs from outdoor macro site and add a pathloss offset to obtain the pathloss for indoor pico site.</w:t>
      </w:r>
    </w:p>
    <w:p w14:paraId="0BEF7F52">
      <w:pPr>
        <w:snapToGrid w:val="0"/>
        <w:spacing w:before="120" w:beforeLines="50" w:line="288" w:lineRule="auto"/>
        <w:jc w:val="center"/>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0" distR="0">
            <wp:extent cx="2769235" cy="1753870"/>
            <wp:effectExtent l="0" t="0" r="0" b="0"/>
            <wp:docPr id="99550359" name="图片 7" descr="图示, 文本,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50359" name="图片 7" descr="图示, 文本, 箭头&#10;&#10;描述已自动生成"/>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774656" cy="1757093"/>
                    </a:xfrm>
                    <a:prstGeom prst="rect">
                      <a:avLst/>
                    </a:prstGeom>
                    <a:noFill/>
                  </pic:spPr>
                </pic:pic>
              </a:graphicData>
            </a:graphic>
          </wp:inline>
        </w:drawing>
      </w:r>
    </w:p>
    <w:p w14:paraId="59CFE949">
      <w:pPr>
        <w:snapToGrid w:val="0"/>
        <w:spacing w:line="288" w:lineRule="auto"/>
        <w:jc w:val="center"/>
        <w:rPr>
          <w:rFonts w:hint="default" w:ascii="Times New Roman" w:hAnsi="Times New Roman" w:cs="Times New Roman"/>
          <w:sz w:val="20"/>
          <w:szCs w:val="20"/>
        </w:rPr>
      </w:pPr>
      <w:r>
        <w:rPr>
          <w:rFonts w:hint="default" w:ascii="Times New Roman" w:hAnsi="Times New Roman" w:cs="Times New Roman"/>
          <w:sz w:val="20"/>
          <w:szCs w:val="20"/>
        </w:rPr>
        <w:t>Fig.</w:t>
      </w:r>
      <w:r>
        <w:rPr>
          <w:rFonts w:hint="eastAsia" w:ascii="Times New Roman" w:hAnsi="Times New Roman" w:cs="Times New Roman"/>
          <w:sz w:val="20"/>
          <w:szCs w:val="20"/>
          <w:lang w:val="en-US" w:eastAsia="zh-CN"/>
        </w:rPr>
        <w:t>1</w:t>
      </w:r>
      <w:r>
        <w:rPr>
          <w:rFonts w:hint="default" w:ascii="Times New Roman" w:hAnsi="Times New Roman" w:cs="Times New Roman"/>
          <w:sz w:val="20"/>
          <w:szCs w:val="20"/>
        </w:rPr>
        <w:t xml:space="preserve"> Inter-cell deployment with asymmetric DL and UL transmission</w:t>
      </w:r>
    </w:p>
    <w:p w14:paraId="4D4CC43A">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b/>
          <w:bCs/>
          <w:i/>
          <w:iCs/>
          <w:sz w:val="20"/>
          <w:szCs w:val="20"/>
          <w:lang w:val="en-US" w:eastAsia="zh-CN"/>
        </w:rPr>
      </w:pPr>
    </w:p>
    <w:p w14:paraId="64A87004">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Observation 1: according to RAN1 agreements, ICBM is supported in asymmetric DL sTRP/UL mTRP scenarios. </w:t>
      </w:r>
    </w:p>
    <w:p w14:paraId="734C611E">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inter-</w:t>
      </w:r>
      <w:r>
        <w:rPr>
          <w:rFonts w:hint="default" w:ascii="Times New Roman" w:hAnsi="Times New Roman" w:cs="Times New Roman"/>
          <w:sz w:val="20"/>
          <w:szCs w:val="20"/>
        </w:rPr>
        <w:t>cell deployment with asymmetric DL and UL transmission</w:t>
      </w:r>
      <w:r>
        <w:rPr>
          <w:rFonts w:hint="eastAsia" w:ascii="Times New Roman" w:hAnsi="Times New Roman" w:cs="Times New Roman"/>
          <w:sz w:val="20"/>
          <w:szCs w:val="20"/>
          <w:lang w:val="en-US" w:eastAsia="zh-CN"/>
        </w:rPr>
        <w:t xml:space="preserve">, SSB is transmitted from the </w:t>
      </w:r>
      <w:r>
        <w:rPr>
          <w:rFonts w:hint="default" w:ascii="Times New Roman" w:hAnsi="Times New Roman" w:cs="Times New Roman"/>
          <w:sz w:val="20"/>
          <w:szCs w:val="20"/>
        </w:rPr>
        <w:t>indoor pico site</w:t>
      </w:r>
      <w:r>
        <w:rPr>
          <w:rFonts w:hint="eastAsia" w:ascii="Times New Roman" w:hAnsi="Times New Roman" w:cs="Times New Roman"/>
          <w:sz w:val="20"/>
          <w:szCs w:val="20"/>
          <w:lang w:val="en-US" w:eastAsia="zh-CN"/>
        </w:rPr>
        <w:t xml:space="preserve"> (i.e. TRP with additional PCI), which can be used </w:t>
      </w:r>
      <w:r>
        <w:rPr>
          <w:rFonts w:hint="default" w:ascii="Times New Roman" w:hAnsi="Times New Roman" w:cs="Times New Roman"/>
          <w:sz w:val="20"/>
          <w:szCs w:val="20"/>
        </w:rPr>
        <w:t>as pathloss RS when UE transmits PUCCH and PUSCH to indoor pico site</w:t>
      </w:r>
      <w:r>
        <w:rPr>
          <w:rFonts w:hint="eastAsia" w:ascii="Times New Roman" w:hAnsi="Times New Roman" w:cs="Times New Roman"/>
          <w:sz w:val="20"/>
          <w:szCs w:val="20"/>
          <w:lang w:val="en-US" w:eastAsia="zh-CN"/>
        </w:rPr>
        <w:t xml:space="preserve">. So pathloss offset is not needed which is used to </w:t>
      </w:r>
      <w:r>
        <w:rPr>
          <w:rFonts w:hint="default" w:ascii="Times New Roman" w:hAnsi="Times New Roman" w:cs="Times New Roman"/>
          <w:sz w:val="20"/>
          <w:szCs w:val="20"/>
        </w:rPr>
        <w:t xml:space="preserve">calculate pathloss from RSs from outdoor macro site and add a pathloss offset to obtain the pathloss for </w:t>
      </w:r>
      <w:r>
        <w:rPr>
          <w:rFonts w:hint="eastAsia" w:ascii="Times New Roman" w:hAnsi="Times New Roman" w:cs="Times New Roman"/>
          <w:sz w:val="20"/>
          <w:szCs w:val="20"/>
          <w:lang w:val="en-US" w:eastAsia="zh-CN"/>
        </w:rPr>
        <w:t xml:space="preserve">UL-only </w:t>
      </w:r>
      <w:r>
        <w:rPr>
          <w:rFonts w:hint="default" w:ascii="Times New Roman" w:hAnsi="Times New Roman" w:cs="Times New Roman"/>
          <w:sz w:val="20"/>
          <w:szCs w:val="20"/>
        </w:rPr>
        <w:t>indoor pico site</w:t>
      </w:r>
      <w:r>
        <w:rPr>
          <w:rFonts w:hint="eastAsia" w:ascii="Times New Roman" w:hAnsi="Times New Roman" w:cs="Times New Roman"/>
          <w:sz w:val="20"/>
          <w:szCs w:val="20"/>
          <w:lang w:val="en-US" w:eastAsia="zh-CN"/>
        </w:rPr>
        <w:t>.</w:t>
      </w:r>
    </w:p>
    <w:p w14:paraId="4E7AD677">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w:t>
      </w:r>
      <w:r>
        <w:rPr>
          <w:rFonts w:hint="default" w:ascii="Times New Roman" w:hAnsi="Times New Roman" w:cs="Times New Roman"/>
          <w:b/>
          <w:bCs/>
          <w:i/>
          <w:iCs/>
          <w:sz w:val="20"/>
          <w:szCs w:val="20"/>
        </w:rPr>
        <w:t xml:space="preserve">pathloss offset </w:t>
      </w:r>
      <w:r>
        <w:rPr>
          <w:rFonts w:hint="eastAsia" w:ascii="Times New Roman" w:hAnsi="Times New Roman" w:cs="Times New Roman"/>
          <w:b/>
          <w:bCs/>
          <w:i/>
          <w:iCs/>
          <w:sz w:val="20"/>
          <w:szCs w:val="20"/>
          <w:lang w:val="en-US" w:eastAsia="zh-CN"/>
        </w:rPr>
        <w:t xml:space="preserve">has no impact on </w:t>
      </w:r>
      <w:r>
        <w:rPr>
          <w:rFonts w:hint="eastAsia" w:ascii="Times New Roman" w:hAnsi="Times New Roman" w:cs="Times New Roman"/>
          <w:b/>
          <w:bCs/>
          <w:i/>
          <w:iCs/>
          <w:sz w:val="20"/>
          <w:szCs w:val="20"/>
          <w:highlight w:val="none"/>
          <w:lang w:val="en-US" w:eastAsia="zh-CN"/>
        </w:rPr>
        <w:t>ICBM based asymmetric DL and UL transmission, i.e. legacy requirements can be reused.</w:t>
      </w:r>
    </w:p>
    <w:p w14:paraId="1BEB4034">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As discussed above, for inter-cell deployment with asymmetric DL and UL transmission, SSB is transmitted from the </w:t>
      </w:r>
      <w:r>
        <w:rPr>
          <w:rFonts w:hint="default" w:ascii="Times New Roman" w:hAnsi="Times New Roman" w:cs="Times New Roman"/>
          <w:sz w:val="20"/>
          <w:szCs w:val="20"/>
        </w:rPr>
        <w:t>indoor pico site</w:t>
      </w:r>
      <w:r>
        <w:rPr>
          <w:rFonts w:hint="eastAsia" w:ascii="Times New Roman" w:hAnsi="Times New Roman" w:cs="Times New Roman"/>
          <w:sz w:val="20"/>
          <w:szCs w:val="20"/>
          <w:lang w:val="en-US" w:eastAsia="zh-CN"/>
        </w:rPr>
        <w:t xml:space="preserve">, which means that the SSB from </w:t>
      </w:r>
      <w:r>
        <w:rPr>
          <w:rFonts w:hint="default" w:ascii="Times New Roman" w:hAnsi="Times New Roman" w:cs="Times New Roman"/>
          <w:sz w:val="20"/>
          <w:szCs w:val="20"/>
        </w:rPr>
        <w:t>indoor pico site</w:t>
      </w:r>
      <w:r>
        <w:rPr>
          <w:rFonts w:hint="eastAsia" w:ascii="Times New Roman" w:hAnsi="Times New Roman" w:cs="Times New Roman"/>
          <w:sz w:val="20"/>
          <w:szCs w:val="20"/>
          <w:lang w:val="en-US" w:eastAsia="zh-CN"/>
        </w:rPr>
        <w:t xml:space="preserve"> can be configured as source RS for the transmition of PUCCH and PUSCH to the indoor pico site. In other words, legacy </w:t>
      </w:r>
      <w:r>
        <w:rPr>
          <w:rFonts w:hint="default" w:ascii="Times New Roman" w:hAnsi="Times New Roman" w:eastAsia="宋体" w:cs="Times New Roman"/>
          <w:sz w:val="20"/>
          <w:szCs w:val="20"/>
          <w:lang w:eastAsia="zh-CN"/>
        </w:rPr>
        <w:t>UL TCI state switching delay requirement</w:t>
      </w:r>
      <w:r>
        <w:rPr>
          <w:rFonts w:hint="eastAsia" w:ascii="Times New Roman" w:hAnsi="Times New Roman" w:cs="Times New Roman"/>
          <w:sz w:val="20"/>
          <w:szCs w:val="20"/>
          <w:lang w:val="en-US" w:eastAsia="zh-CN"/>
        </w:rPr>
        <w:t xml:space="preserve">s, e.g. ICBM related requirements, can be reused  </w:t>
      </w:r>
    </w:p>
    <w:p w14:paraId="4C9D0935">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4: it is proposed that legacy </w:t>
      </w:r>
      <w:r>
        <w:rPr>
          <w:rFonts w:hint="default" w:ascii="Times New Roman" w:hAnsi="Times New Roman" w:eastAsia="宋体" w:cs="Times New Roman"/>
          <w:b/>
          <w:bCs/>
          <w:i/>
          <w:iCs/>
          <w:sz w:val="20"/>
          <w:szCs w:val="20"/>
          <w:highlight w:val="none"/>
          <w:lang w:eastAsia="zh-CN"/>
        </w:rPr>
        <w:t>UL TCI state switching delay requirement</w:t>
      </w:r>
      <w:r>
        <w:rPr>
          <w:rFonts w:hint="eastAsia" w:ascii="Times New Roman" w:hAnsi="Times New Roman" w:cs="Times New Roman"/>
          <w:b/>
          <w:bCs/>
          <w:i/>
          <w:iCs/>
          <w:sz w:val="20"/>
          <w:szCs w:val="20"/>
          <w:highlight w:val="none"/>
          <w:lang w:val="en-US" w:eastAsia="zh-CN"/>
        </w:rPr>
        <w:t>s can be reused for ICBM based asymmetric DL and UL transmission.</w:t>
      </w:r>
    </w:p>
    <w:p w14:paraId="6580BB1C">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According to the revised WID in RAN#105 meeting, the objective on two TAs enhancements for sDCI is confirmed. Two TA mechanism for multi-DCI multi-TRP scenario, enabling UE to transmit with two different timings toward two different TRPs, are introduced in Rel-18, and related timing requirements are specified in RAN4. UL timing is derived based on the DL timing, two individual DL timing are needed, and the TCI states associated to a coresetPoolIndex corresponding to one TAG.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B071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98AD9E8">
            <w:pPr>
              <w:keepNext w:val="0"/>
              <w:keepLines w:val="0"/>
              <w:pageBreakBefore w:val="0"/>
              <w:widowControl w:val="0"/>
              <w:kinsoku/>
              <w:wordWrap/>
              <w:overflowPunct/>
              <w:topLinePunct w:val="0"/>
              <w:autoSpaceDE/>
              <w:autoSpaceDN/>
              <w:bidi w:val="0"/>
              <w:adjustRightInd/>
              <w:snapToGrid w:val="0"/>
              <w:spacing w:after="18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TS 38.133</w:t>
            </w:r>
            <w:bookmarkStart w:id="11" w:name="_Toc535475927"/>
            <w:r>
              <w:rPr>
                <w:rFonts w:hint="eastAsia" w:ascii="Times New Roman" w:hAnsi="Times New Roman" w:cs="Times New Roman"/>
                <w:sz w:val="20"/>
                <w:szCs w:val="20"/>
                <w:highlight w:val="none"/>
                <w:vertAlign w:val="baseline"/>
                <w:lang w:val="en-US" w:eastAsia="zh-CN"/>
              </w:rPr>
              <w:t xml:space="preserve">, </w:t>
            </w:r>
            <w:r>
              <w:rPr>
                <w:rFonts w:hint="default" w:ascii="Times New Roman" w:hAnsi="Times New Roman" w:cs="Times New Roman"/>
                <w:sz w:val="20"/>
                <w:szCs w:val="20"/>
              </w:rPr>
              <w:t>7.1</w:t>
            </w:r>
            <w:r>
              <w:rPr>
                <w:rFonts w:hint="default" w:ascii="Times New Roman" w:hAnsi="Times New Roman" w:cs="Times New Roman"/>
                <w:sz w:val="20"/>
                <w:szCs w:val="20"/>
              </w:rPr>
              <w:tab/>
            </w:r>
            <w:r>
              <w:rPr>
                <w:rFonts w:hint="default" w:ascii="Times New Roman" w:hAnsi="Times New Roman" w:cs="Times New Roman"/>
                <w:sz w:val="20"/>
                <w:szCs w:val="20"/>
              </w:rPr>
              <w:t>UE transmit timing</w:t>
            </w:r>
            <w:bookmarkEnd w:id="11"/>
            <w:r>
              <w:rPr>
                <w:rFonts w:hint="default" w:ascii="Times New Roman" w:hAnsi="Times New Roman" w:cs="Times New Roman"/>
                <w:sz w:val="20"/>
                <w:szCs w:val="20"/>
                <w:highlight w:val="none"/>
                <w:vertAlign w:val="baseline"/>
                <w:lang w:val="en-US" w:eastAsia="zh-CN"/>
              </w:rPr>
              <w:t xml:space="preserve"> </w:t>
            </w:r>
          </w:p>
          <w:p w14:paraId="4908D058">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For multi-DCI based multi-TRP operation with two TAs, for each TAG, the uplink transmission timing takes place </w:t>
            </w:r>
            <m:oMath>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m:nor/>
                      <m:sty m:val="p"/>
                    </m:rPr>
                    <w:rPr>
                      <w:rFonts w:hint="default" w:ascii="Cambria Math" w:hAnsi="Cambria Math" w:cs="Times New Roman"/>
                      <w:b w:val="0"/>
                      <w:i w:val="0"/>
                      <w:sz w:val="20"/>
                      <w:szCs w:val="20"/>
                    </w:rPr>
                    <m:t>TA</m:t>
                  </m:r>
                  <m:ctrlPr>
                    <w:rPr>
                      <w:rFonts w:hint="default" w:ascii="Cambria Math" w:hAnsi="Cambria Math" w:cs="Times New Roman"/>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m:nor/>
                      <m:sty m:val="p"/>
                    </m:rPr>
                    <w:rPr>
                      <w:rFonts w:hint="default" w:ascii="Cambria Math" w:hAnsi="Cambria Math" w:cs="Times New Roman"/>
                      <w:b w:val="0"/>
                      <w:i w:val="0"/>
                      <w:sz w:val="20"/>
                      <w:szCs w:val="20"/>
                    </w:rPr>
                    <m:t>TA offset</m:t>
                  </m:r>
                  <m:ctrlPr>
                    <w:rPr>
                      <w:rFonts w:hint="default" w:ascii="Cambria Math" w:hAnsi="Cambria Math" w:cs="Times New Roman"/>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w:rPr>
                      <w:rFonts w:hint="default" w:ascii="Cambria Math" w:hAnsi="Cambria Math" w:cs="Times New Roman"/>
                      <w:sz w:val="20"/>
                      <w:szCs w:val="20"/>
                    </w:rPr>
                    <m:t>c</m:t>
                  </m:r>
                  <m:ctrlPr>
                    <w:rPr>
                      <w:rFonts w:hint="default" w:ascii="Cambria Math" w:hAnsi="Cambria Math" w:cs="Times New Roman"/>
                      <w:i/>
                      <w:sz w:val="20"/>
                      <w:szCs w:val="20"/>
                    </w:rPr>
                  </m:ctrlPr>
                </m:sub>
              </m:sSub>
            </m:oMath>
            <w:r>
              <w:rPr>
                <w:rFonts w:hint="default" w:ascii="Times New Roman" w:hAnsi="Times New Roman" w:cs="Times New Roman"/>
                <w:sz w:val="20"/>
                <w:szCs w:val="20"/>
                <w:lang w:val="en-US"/>
              </w:rPr>
              <w:t xml:space="preserve"> before the reception of the downlink reference point. .</w:t>
            </w:r>
          </w:p>
          <w:p w14:paraId="3EB21D71">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multi-DCI based multi-TRP operation with two TAs, the reference point for</w:t>
            </w:r>
            <w:r>
              <w:rPr>
                <w:rFonts w:hint="default" w:ascii="Times New Roman" w:hAnsi="Times New Roman" w:cs="Times New Roman"/>
                <w:sz w:val="20"/>
                <w:szCs w:val="20"/>
              </w:rPr>
              <w:t xml:space="preserve"> PUCCH/PUSCH/SRS,</w:t>
            </w:r>
            <w:r>
              <w:rPr>
                <w:rFonts w:hint="default" w:ascii="Times New Roman" w:hAnsi="Times New Roman" w:cs="Times New Roman"/>
                <w:sz w:val="20"/>
                <w:szCs w:val="20"/>
                <w:lang w:val="en-US"/>
              </w:rPr>
              <w:t xml:space="preserve"> is the first detected path (in time) of one of the corresponding downlink reference signal(s) of the reference cell associated with </w:t>
            </w:r>
            <w:r>
              <w:rPr>
                <w:rFonts w:hint="default" w:ascii="Times New Roman" w:hAnsi="Times New Roman" w:cs="Times New Roman"/>
                <w:sz w:val="20"/>
                <w:szCs w:val="20"/>
              </w:rPr>
              <w:t xml:space="preserve">one of the </w:t>
            </w:r>
            <w:r>
              <w:rPr>
                <w:rFonts w:hint="default" w:ascii="Times New Roman" w:hAnsi="Times New Roman" w:cs="Times New Roman"/>
                <w:i/>
                <w:iCs/>
                <w:color w:val="000000"/>
                <w:sz w:val="20"/>
                <w:szCs w:val="20"/>
              </w:rPr>
              <w:t xml:space="preserve">DLorJointTCIState </w:t>
            </w:r>
            <w:r>
              <w:rPr>
                <w:rFonts w:hint="default" w:ascii="Times New Roman" w:hAnsi="Times New Roman" w:cs="Times New Roman"/>
                <w:color w:val="000000"/>
                <w:sz w:val="20"/>
                <w:szCs w:val="20"/>
              </w:rPr>
              <w:t>[</w:t>
            </w:r>
            <w:r>
              <w:rPr>
                <w:rFonts w:hint="default" w:ascii="Times New Roman" w:hAnsi="Times New Roman" w:cs="Times New Roman"/>
                <w:sz w:val="20"/>
                <w:szCs w:val="20"/>
              </w:rPr>
              <w:t>TS 38.331] having the same TAG</w:t>
            </w:r>
            <w:r>
              <w:rPr>
                <w:rFonts w:hint="default" w:ascii="Times New Roman" w:hAnsi="Times New Roman" w:cs="Times New Roman"/>
                <w:sz w:val="20"/>
                <w:szCs w:val="20"/>
                <w:lang w:val="en-US"/>
              </w:rPr>
              <w:t>as the uplink signal</w:t>
            </w:r>
            <w:r>
              <w:rPr>
                <w:rFonts w:hint="default" w:ascii="Times New Roman" w:hAnsi="Times New Roman" w:cs="Times New Roman"/>
                <w:color w:val="000000"/>
                <w:sz w:val="20"/>
                <w:szCs w:val="20"/>
              </w:rPr>
              <w:t>.</w:t>
            </w:r>
          </w:p>
          <w:p w14:paraId="69DB40DE">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For intra-cell multi-DCI based multi-TRP operation with two TAs, the reference point for </w:t>
            </w:r>
            <w:r>
              <w:rPr>
                <w:rFonts w:hint="default" w:ascii="Times New Roman" w:hAnsi="Times New Roman" w:cs="Times New Roman"/>
                <w:sz w:val="20"/>
                <w:szCs w:val="20"/>
              </w:rPr>
              <w:t>PRACH transmission triggered by PDCCH order</w:t>
            </w:r>
            <w:r>
              <w:rPr>
                <w:rFonts w:hint="default" w:ascii="Times New Roman" w:hAnsi="Times New Roman" w:cs="Times New Roman"/>
                <w:sz w:val="20"/>
                <w:szCs w:val="20"/>
                <w:lang w:val="en-US"/>
              </w:rPr>
              <w:t>,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1F902B46">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For inter-cell multi-DCI based multi-TRP operation with two TAs, the reference point for </w:t>
            </w:r>
            <w:r>
              <w:rPr>
                <w:rFonts w:hint="default" w:ascii="Times New Roman" w:hAnsi="Times New Roman" w:cs="Times New Roman"/>
                <w:sz w:val="20"/>
                <w:szCs w:val="20"/>
              </w:rPr>
              <w:t>PRACH transmission triggered by PDCCH order</w:t>
            </w:r>
            <w:r>
              <w:rPr>
                <w:rFonts w:hint="default" w:ascii="Times New Roman" w:hAnsi="Times New Roman" w:cs="Times New Roman"/>
                <w:sz w:val="20"/>
                <w:szCs w:val="20"/>
                <w:lang w:val="en-US"/>
              </w:rPr>
              <w:t xml:space="preserve">, </w:t>
            </w:r>
          </w:p>
          <w:p w14:paraId="17BC6A48">
            <w:pPr>
              <w:pStyle w:val="14"/>
              <w:rPr>
                <w:rFonts w:hint="default" w:ascii="Times New Roman" w:hAnsi="Times New Roman" w:cs="Times New Roman"/>
                <w:sz w:val="20"/>
                <w:szCs w:val="20"/>
                <w:lang w:val="en-US"/>
              </w:rPr>
            </w:pPr>
            <w:r>
              <w:rPr>
                <w:rFonts w:hint="default" w:ascii="Times New Roman" w:hAnsi="Times New Roman" w:eastAsia="MS Mincho" w:cs="Times New Roman"/>
                <w:sz w:val="20"/>
                <w:szCs w:val="20"/>
                <w:lang w:val="en-US" w:eastAsia="zh-CN"/>
              </w:rPr>
              <w:t>-</w:t>
            </w:r>
            <w:r>
              <w:rPr>
                <w:rFonts w:hint="default" w:ascii="Times New Roman" w:hAnsi="Times New Roman" w:eastAsia="MS Mincho" w:cs="Times New Roman"/>
                <w:sz w:val="20"/>
                <w:szCs w:val="20"/>
                <w:lang w:val="en-US" w:eastAsia="zh-CN"/>
              </w:rPr>
              <w:tab/>
            </w:r>
            <w:r>
              <w:rPr>
                <w:rFonts w:hint="default" w:ascii="Times New Roman" w:hAnsi="Times New Roman" w:cs="Times New Roman"/>
                <w:sz w:val="20"/>
                <w:szCs w:val="20"/>
                <w:lang w:val="en-US"/>
              </w:rPr>
              <w:t>if “</w:t>
            </w:r>
            <w:r>
              <w:rPr>
                <w:rFonts w:hint="default" w:ascii="Times New Roman" w:hAnsi="Times New Roman" w:cs="Times New Roman"/>
                <w:sz w:val="20"/>
                <w:szCs w:val="20"/>
                <w:highlight w:val="none"/>
                <w:lang w:val="en-US"/>
              </w:rPr>
              <w:t>PRACH association indicator</w:t>
            </w:r>
            <w:r>
              <w:rPr>
                <w:rFonts w:hint="default" w:ascii="Times New Roman" w:hAnsi="Times New Roman" w:cs="Times New Roman"/>
                <w:sz w:val="20"/>
                <w:szCs w:val="20"/>
                <w:lang w:val="en-US"/>
              </w:rPr>
              <w:t>” is 0, the reference timing is the first detected path (in time) of one of the corresponding downlink reference signal(s) of DL TCI state(s) of the reference cell associated with the first TAG</w:t>
            </w:r>
            <w:r>
              <w:rPr>
                <w:rFonts w:hint="default" w:ascii="Times New Roman" w:hAnsi="Times New Roman" w:cs="Times New Roman"/>
                <w:sz w:val="20"/>
                <w:szCs w:val="20"/>
              </w:rPr>
              <w:t>.</w:t>
            </w:r>
          </w:p>
          <w:p w14:paraId="24D18837">
            <w:pPr>
              <w:pStyle w:val="14"/>
              <w:rPr>
                <w:rFonts w:hint="default" w:ascii="Times New Roman" w:hAnsi="Times New Roman" w:cs="Times New Roman"/>
                <w:sz w:val="20"/>
                <w:szCs w:val="20"/>
                <w:lang w:val="en-US"/>
              </w:rPr>
            </w:pPr>
            <w:r>
              <w:rPr>
                <w:rFonts w:hint="default" w:ascii="Times New Roman" w:hAnsi="Times New Roman" w:eastAsia="MS Mincho" w:cs="Times New Roman"/>
                <w:sz w:val="20"/>
                <w:szCs w:val="20"/>
                <w:lang w:val="en-US" w:eastAsia="zh-CN"/>
              </w:rPr>
              <w:t>-</w:t>
            </w:r>
            <w:r>
              <w:rPr>
                <w:rFonts w:hint="default" w:ascii="Times New Roman" w:hAnsi="Times New Roman" w:eastAsia="MS Mincho" w:cs="Times New Roman"/>
                <w:sz w:val="20"/>
                <w:szCs w:val="20"/>
                <w:lang w:val="en-US" w:eastAsia="zh-CN"/>
              </w:rPr>
              <w:tab/>
            </w:r>
            <w:r>
              <w:rPr>
                <w:rFonts w:hint="default" w:ascii="Times New Roman" w:hAnsi="Times New Roman" w:cs="Times New Roman"/>
                <w:sz w:val="20"/>
                <w:szCs w:val="20"/>
                <w:lang w:val="en-US"/>
              </w:rPr>
              <w:t>if “PRACH association indicator” is 1, the reference timing is the first detected path (in time) of one of the corresponding downlink reference signal(s) of DL TCI state(s) of the reference cell associated with the second TAG</w:t>
            </w:r>
            <w:r>
              <w:rPr>
                <w:rFonts w:hint="default" w:ascii="Times New Roman" w:hAnsi="Times New Roman" w:cs="Times New Roman"/>
                <w:sz w:val="20"/>
                <w:szCs w:val="20"/>
              </w:rPr>
              <w:t>.</w:t>
            </w:r>
          </w:p>
          <w:p w14:paraId="03F91601">
            <w:pPr>
              <w:rPr>
                <w:rFonts w:hint="default" w:ascii="Times New Roman" w:hAnsi="Times New Roman" w:cs="Times New Roman"/>
                <w:sz w:val="20"/>
                <w:szCs w:val="20"/>
                <w:lang w:val="en-US"/>
              </w:rPr>
            </w:pPr>
            <w:r>
              <w:rPr>
                <w:rFonts w:hint="default" w:ascii="Times New Roman" w:hAnsi="Times New Roman" w:cs="Times New Roman"/>
                <w:color w:val="000000"/>
                <w:sz w:val="20"/>
                <w:szCs w:val="20"/>
              </w:rPr>
              <w:t xml:space="preserve">Where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m:nor/>
                      <m:sty m:val="p"/>
                    </m:rPr>
                    <w:rPr>
                      <w:rFonts w:hint="default" w:ascii="Cambria Math" w:hAnsi="Cambria Math" w:cs="Times New Roman"/>
                      <w:b w:val="0"/>
                      <w:i w:val="0"/>
                      <w:sz w:val="20"/>
                      <w:szCs w:val="20"/>
                    </w:rPr>
                    <m:t>TA</m:t>
                  </m:r>
                  <m:ctrlPr>
                    <w:rPr>
                      <w:rFonts w:hint="default" w:ascii="Cambria Math" w:hAnsi="Cambria Math" w:cs="Times New Roman"/>
                      <w:sz w:val="20"/>
                      <w:szCs w:val="20"/>
                    </w:rPr>
                  </m:ctrlPr>
                </m:sub>
              </m:sSub>
            </m:oMath>
            <w:r>
              <w:rPr>
                <w:rFonts w:hint="default" w:ascii="Times New Roman" w:hAnsi="Times New Roman" w:cs="Times New Roman"/>
                <w:sz w:val="20"/>
                <w:szCs w:val="20"/>
                <w:lang w:val="en-US"/>
              </w:rPr>
              <w:t xml:space="preserve"> and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m:nor/>
                      <m:sty m:val="p"/>
                    </m:rPr>
                    <w:rPr>
                      <w:rFonts w:hint="default" w:ascii="Cambria Math" w:hAnsi="Cambria Math" w:cs="Times New Roman"/>
                      <w:b w:val="0"/>
                      <w:i w:val="0"/>
                      <w:sz w:val="20"/>
                      <w:szCs w:val="20"/>
                    </w:rPr>
                    <m:t>TA offset</m:t>
                  </m:r>
                  <m:ctrlPr>
                    <w:rPr>
                      <w:rFonts w:hint="default" w:ascii="Cambria Math" w:hAnsi="Cambria Math" w:cs="Times New Roman"/>
                      <w:sz w:val="20"/>
                      <w:szCs w:val="20"/>
                    </w:rPr>
                  </m:ctrlPr>
                </m:sub>
              </m:sSub>
            </m:oMath>
            <w:r>
              <w:rPr>
                <w:rFonts w:hint="default" w:ascii="Times New Roman" w:hAnsi="Times New Roman" w:cs="Times New Roman"/>
                <w:sz w:val="20"/>
                <w:szCs w:val="20"/>
                <w:lang w:val="en-US"/>
              </w:rPr>
              <w:t xml:space="preserve"> are commanded by the network independently for each TAG [TS 38.331]. </w:t>
            </w:r>
            <m:oMath>
              <m:sSub>
                <w:bookmarkStart w:id="12" w:name="_Hlk174096783"/>
                <m:sSubPr>
                  <m:ctrlPr>
                    <w:rPr>
                      <w:rFonts w:hint="default" w:ascii="Cambria Math" w:hAnsi="Cambria Math" w:eastAsia="MS Mincho" w:cs="Times New Roman"/>
                      <w:i/>
                      <w:sz w:val="20"/>
                      <w:szCs w:val="20"/>
                    </w:rPr>
                  </m:ctrlPr>
                </m:sSubPr>
                <m:e>
                  <m:r>
                    <m:rPr/>
                    <w:rPr>
                      <w:rFonts w:hint="default" w:ascii="Cambria Math" w:hAnsi="Cambria Math" w:eastAsia="MS Mincho" w:cs="Times New Roman"/>
                      <w:sz w:val="20"/>
                      <w:szCs w:val="20"/>
                    </w:rPr>
                    <m:t>N</m:t>
                  </m:r>
                  <m:ctrlPr>
                    <w:rPr>
                      <w:rFonts w:hint="default" w:ascii="Cambria Math" w:hAnsi="Cambria Math" w:eastAsia="MS Mincho" w:cs="Times New Roman"/>
                      <w:i/>
                      <w:sz w:val="20"/>
                      <w:szCs w:val="20"/>
                    </w:rPr>
                  </m:ctrlPr>
                </m:e>
                <m:sub>
                  <m:r>
                    <m:rPr>
                      <m:nor/>
                      <m:sty m:val="p"/>
                    </m:rPr>
                    <w:rPr>
                      <w:rFonts w:hint="default" w:ascii="Cambria Math" w:hAnsi="Cambria Math" w:eastAsia="MS Mincho" w:cs="Times New Roman"/>
                      <w:b w:val="0"/>
                      <w:i w:val="0"/>
                      <w:sz w:val="20"/>
                      <w:szCs w:val="20"/>
                    </w:rPr>
                    <m:t>TA offset</m:t>
                  </m:r>
                  <m:ctrlPr>
                    <w:rPr>
                      <w:rFonts w:hint="default" w:ascii="Cambria Math" w:hAnsi="Cambria Math" w:eastAsia="MS Mincho" w:cs="Times New Roman"/>
                      <w:sz w:val="20"/>
                      <w:szCs w:val="20"/>
                    </w:rPr>
                  </m:ctrlPr>
                </m:sub>
              </m:sSub>
            </m:oMath>
            <w:bookmarkEnd w:id="12"/>
            <w:r>
              <w:rPr>
                <w:rFonts w:hint="default" w:ascii="Times New Roman" w:hAnsi="Times New Roman" w:eastAsia="MS Mincho" w:cs="Times New Roman"/>
                <w:sz w:val="20"/>
                <w:szCs w:val="20"/>
              </w:rPr>
              <w:t xml:space="preserve"> for first TAG and second TAG are as defined </w:t>
            </w:r>
            <w:r>
              <w:rPr>
                <w:rFonts w:hint="default" w:ascii="Times New Roman" w:hAnsi="Times New Roman" w:eastAsia="MS Mincho" w:cs="Times New Roman"/>
                <w:sz w:val="20"/>
                <w:szCs w:val="20"/>
                <w:lang w:val="en-US"/>
              </w:rPr>
              <w:t xml:space="preserve">in n-TimingAdvanceOffset and n-TimingAdvanceOffset2 respectively, if configured, otherwise </w:t>
            </w:r>
            <w:r>
              <w:rPr>
                <w:rFonts w:hint="default" w:ascii="Times New Roman" w:hAnsi="Times New Roman" w:cs="Times New Roman"/>
                <w:sz w:val="20"/>
                <w:szCs w:val="20"/>
              </w:rPr>
              <w:t xml:space="preserve">it is </w:t>
            </w:r>
            <m:oMath>
              <m:sSub>
                <m:sSubPr>
                  <m:ctrlPr>
                    <w:rPr>
                      <w:rFonts w:hint="default" w:ascii="Cambria Math" w:hAnsi="Cambria Math" w:eastAsia="MS Mincho" w:cs="Times New Roman"/>
                      <w:i/>
                      <w:sz w:val="20"/>
                      <w:szCs w:val="20"/>
                    </w:rPr>
                  </m:ctrlPr>
                </m:sSubPr>
                <m:e>
                  <m:r>
                    <m:rPr/>
                    <w:rPr>
                      <w:rFonts w:hint="default" w:ascii="Cambria Math" w:hAnsi="Cambria Math" w:eastAsia="MS Mincho" w:cs="Times New Roman"/>
                      <w:sz w:val="20"/>
                      <w:szCs w:val="20"/>
                    </w:rPr>
                    <m:t>N</m:t>
                  </m:r>
                  <m:ctrlPr>
                    <w:rPr>
                      <w:rFonts w:hint="default" w:ascii="Cambria Math" w:hAnsi="Cambria Math" w:eastAsia="MS Mincho" w:cs="Times New Roman"/>
                      <w:i/>
                      <w:sz w:val="20"/>
                      <w:szCs w:val="20"/>
                    </w:rPr>
                  </m:ctrlPr>
                </m:e>
                <m:sub>
                  <m:r>
                    <m:rPr>
                      <m:nor/>
                      <m:sty m:val="p"/>
                    </m:rPr>
                    <w:rPr>
                      <w:rFonts w:hint="default" w:ascii="Cambria Math" w:hAnsi="Cambria Math" w:eastAsia="MS Mincho" w:cs="Times New Roman"/>
                      <w:b w:val="0"/>
                      <w:i w:val="0"/>
                      <w:sz w:val="20"/>
                      <w:szCs w:val="20"/>
                    </w:rPr>
                    <m:t>TA offset</m:t>
                  </m:r>
                  <m:ctrlPr>
                    <w:rPr>
                      <w:rFonts w:hint="default" w:ascii="Cambria Math" w:hAnsi="Cambria Math" w:eastAsia="MS Mincho" w:cs="Times New Roman"/>
                      <w:sz w:val="20"/>
                      <w:szCs w:val="20"/>
                    </w:rPr>
                  </m:ctrlPr>
                </m:sub>
              </m:sSub>
            </m:oMath>
            <w:r>
              <w:rPr>
                <w:rFonts w:hint="default" w:ascii="Times New Roman" w:hAnsi="Times New Roman" w:cs="Times New Roman"/>
                <w:sz w:val="20"/>
                <w:szCs w:val="20"/>
                <w:vertAlign w:val="subscript"/>
              </w:rPr>
              <w:t xml:space="preserve"> </w:t>
            </w:r>
            <w:r>
              <w:rPr>
                <w:rFonts w:hint="default" w:ascii="Times New Roman" w:hAnsi="Times New Roman" w:cs="Times New Roman"/>
                <w:sz w:val="20"/>
                <w:szCs w:val="20"/>
              </w:rPr>
              <w:t xml:space="preserve">defined in Table 7.1.2-2. </w:t>
            </w:r>
            <w:r>
              <w:rPr>
                <w:rFonts w:hint="default" w:ascii="Times New Roman" w:hAnsi="Times New Roman" w:cs="Times New Roman"/>
                <w:sz w:val="20"/>
                <w:szCs w:val="20"/>
                <w:lang w:val="en-US" w:eastAsia="zh-CN"/>
              </w:rPr>
              <w:t xml:space="preserve">In the requirements of clause 7.1.2, the SSB applies for both CD-SSB and NCD-SSB if the UE supports </w:t>
            </w:r>
            <w:r>
              <w:rPr>
                <w:rFonts w:hint="default" w:ascii="Times New Roman" w:hAnsi="Times New Roman" w:cs="Times New Roman"/>
                <w:i/>
                <w:iCs/>
                <w:sz w:val="20"/>
                <w:szCs w:val="20"/>
                <w:lang w:val="en-US" w:eastAsia="zh-CN"/>
              </w:rPr>
              <w:t>ncd-SSB-BWP-Wor-r18</w:t>
            </w:r>
            <w:r>
              <w:rPr>
                <w:rFonts w:hint="default" w:ascii="Times New Roman" w:hAnsi="Times New Roman" w:cs="Times New Roman"/>
                <w:sz w:val="20"/>
                <w:szCs w:val="20"/>
                <w:lang w:val="en-US" w:eastAsia="zh-CN"/>
              </w:rPr>
              <w:t>.</w:t>
            </w:r>
          </w:p>
          <w:p w14:paraId="04209665">
            <w:pPr>
              <w:keepNext w:val="0"/>
              <w:keepLines w:val="0"/>
              <w:pageBreakBefore w:val="0"/>
              <w:widowControl w:val="0"/>
              <w:kinsoku/>
              <w:wordWrap/>
              <w:overflowPunct/>
              <w:topLinePunct w:val="0"/>
              <w:autoSpaceDE/>
              <w:autoSpaceDN/>
              <w:bidi w:val="0"/>
              <w:adjustRightInd/>
              <w:snapToGrid w:val="0"/>
              <w:spacing w:after="180"/>
              <w:textAlignment w:val="auto"/>
              <w:rPr>
                <w:rFonts w:hint="default" w:ascii="Times New Roman" w:hAnsi="Times New Roman" w:eastAsia="宋体" w:cs="Times New Roman"/>
                <w:sz w:val="20"/>
                <w:szCs w:val="20"/>
                <w:highlight w:val="none"/>
                <w:vertAlign w:val="baseline"/>
                <w:lang w:val="en-US" w:eastAsia="zh-CN"/>
              </w:rPr>
            </w:pPr>
          </w:p>
        </w:tc>
      </w:tr>
    </w:tbl>
    <w:p w14:paraId="10D1C5B9">
      <w:pPr>
        <w:keepNext w:val="0"/>
        <w:keepLines w:val="0"/>
        <w:pageBreakBefore w:val="0"/>
        <w:widowControl w:val="0"/>
        <w:kinsoku/>
        <w:wordWrap/>
        <w:overflowPunct/>
        <w:topLinePunct w:val="0"/>
        <w:autoSpaceDE/>
        <w:autoSpaceDN/>
        <w:bidi w:val="0"/>
        <w:adjustRightInd/>
        <w:snapToGrid w:val="0"/>
        <w:spacing w:after="180"/>
        <w:ind w:left="0" w:firstLine="0"/>
        <w:textAlignment w:val="auto"/>
        <w:rPr>
          <w:rFonts w:hint="default" w:ascii="Times New Roman" w:hAnsi="Times New Roman" w:eastAsia="宋体" w:cs="Times New Roman"/>
          <w:sz w:val="20"/>
          <w:szCs w:val="20"/>
          <w:highlight w:val="none"/>
          <w:lang w:val="en-US" w:eastAsia="zh-CN"/>
        </w:rPr>
      </w:pPr>
    </w:p>
    <w:p w14:paraId="3E58AB7E">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According to the revised WID, two TAs mechanism is extended to single DCI through reusing Rel-18 specification of two TAs for multi-DCI-based multi-TRP and removing the restriction that coresetPoolIndex needs to be configured, assuming legacy PRACH resources.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990D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1E74925">
            <w:pPr>
              <w:rPr>
                <w:rFonts w:hint="default" w:ascii="Times New Roman" w:hAnsi="Times New Roman" w:eastAsia="等线" w:cs="Times New Roman"/>
                <w:b/>
                <w:bCs/>
                <w:sz w:val="20"/>
                <w:szCs w:val="20"/>
                <w:lang w:val="en-US" w:eastAsia="zh-CN"/>
              </w:rPr>
            </w:pPr>
            <w:r>
              <w:rPr>
                <w:rFonts w:hint="default" w:ascii="Times New Roman" w:hAnsi="Times New Roman" w:eastAsia="等线" w:cs="Times New Roman"/>
                <w:b/>
                <w:bCs/>
                <w:sz w:val="20"/>
                <w:szCs w:val="20"/>
                <w:highlight w:val="green"/>
                <w:lang w:val="en-US" w:eastAsia="zh-CN"/>
              </w:rPr>
              <w:t xml:space="preserve">RAN1 </w:t>
            </w:r>
            <w:r>
              <w:rPr>
                <w:rFonts w:hint="default" w:ascii="Times New Roman" w:hAnsi="Times New Roman" w:eastAsia="等线" w:cs="Times New Roman"/>
                <w:b/>
                <w:bCs/>
                <w:sz w:val="20"/>
                <w:szCs w:val="20"/>
                <w:highlight w:val="green"/>
                <w:lang w:val="en-CA"/>
              </w:rPr>
              <w:t>Agreement</w:t>
            </w:r>
            <w:r>
              <w:rPr>
                <w:rFonts w:hint="default" w:ascii="Times New Roman" w:hAnsi="Times New Roman" w:eastAsia="等线" w:cs="Times New Roman"/>
                <w:b/>
                <w:bCs/>
                <w:sz w:val="20"/>
                <w:szCs w:val="20"/>
                <w:highlight w:val="green"/>
                <w:lang w:val="en-US" w:eastAsia="zh-CN"/>
              </w:rPr>
              <w:t>s</w:t>
            </w:r>
          </w:p>
          <w:p w14:paraId="702D8316">
            <w:pPr>
              <w:rPr>
                <w:rFonts w:hint="default" w:ascii="Times New Roman" w:hAnsi="Times New Roman" w:eastAsia="等线" w:cs="Times New Roman"/>
                <w:sz w:val="20"/>
                <w:szCs w:val="20"/>
              </w:rPr>
            </w:pPr>
            <w:r>
              <w:rPr>
                <w:rFonts w:hint="default" w:ascii="Times New Roman" w:hAnsi="Times New Roman" w:cs="Times New Roman"/>
                <w:sz w:val="20"/>
                <w:szCs w:val="20"/>
                <w:lang w:eastAsia="zh-CN"/>
              </w:rPr>
              <w:t xml:space="preserve">Support 2TA for the </w:t>
            </w:r>
            <w:r>
              <w:rPr>
                <w:rFonts w:hint="default" w:ascii="Times New Roman" w:hAnsi="Times New Roman" w:eastAsia="等线" w:cs="Times New Roman"/>
                <w:sz w:val="20"/>
                <w:szCs w:val="20"/>
              </w:rPr>
              <w:t>asymmetric DL sTRP/UL mTRP deployment scenarios:</w:t>
            </w:r>
          </w:p>
          <w:p w14:paraId="72BE6F6C">
            <w:pPr>
              <w:pStyle w:val="15"/>
              <w:numPr>
                <w:ilvl w:val="0"/>
                <w:numId w:val="16"/>
              </w:numPr>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rPr>
              <w:t xml:space="preserve">Remove the restriction that </w:t>
            </w:r>
            <w:r>
              <w:rPr>
                <w:rFonts w:hint="default" w:ascii="Times New Roman" w:hAnsi="Times New Roman" w:eastAsia="等线" w:cs="Times New Roman"/>
                <w:i/>
                <w:iCs/>
                <w:sz w:val="20"/>
                <w:szCs w:val="20"/>
              </w:rPr>
              <w:t>coresetPoolIndex</w:t>
            </w:r>
            <w:r>
              <w:rPr>
                <w:rFonts w:hint="default" w:ascii="Times New Roman" w:hAnsi="Times New Roman" w:eastAsia="等线" w:cs="Times New Roman"/>
                <w:sz w:val="20"/>
                <w:szCs w:val="20"/>
              </w:rPr>
              <w:t xml:space="preserve"> needs to be configured</w:t>
            </w:r>
            <w:r>
              <w:rPr>
                <w:rFonts w:hint="default" w:ascii="Times New Roman" w:hAnsi="Times New Roman" w:eastAsia="等线" w:cs="Times New Roman"/>
                <w:sz w:val="20"/>
                <w:szCs w:val="20"/>
                <w:lang w:eastAsia="zh-CN"/>
              </w:rPr>
              <w:t xml:space="preserve"> </w:t>
            </w:r>
            <w:r>
              <w:rPr>
                <w:rFonts w:hint="default" w:ascii="Times New Roman" w:hAnsi="Times New Roman" w:eastAsia="等线" w:cs="Times New Roman"/>
                <w:sz w:val="20"/>
                <w:szCs w:val="20"/>
                <w:lang w:val="en-US" w:eastAsia="zh-CN"/>
              </w:rPr>
              <w:t>for the 2TA feature</w:t>
            </w:r>
            <w:r>
              <w:rPr>
                <w:rFonts w:hint="default" w:ascii="Times New Roman" w:hAnsi="Times New Roman" w:eastAsia="等线" w:cs="Times New Roman"/>
                <w:sz w:val="20"/>
                <w:szCs w:val="20"/>
              </w:rPr>
              <w:t>.</w:t>
            </w:r>
          </w:p>
          <w:p w14:paraId="41F1AF22">
            <w:pPr>
              <w:numPr>
                <w:ilvl w:val="0"/>
                <w:numId w:val="16"/>
              </w:numPr>
              <w:jc w:val="both"/>
              <w:rPr>
                <w:rFonts w:hint="default" w:ascii="Times New Roman" w:hAnsi="Times New Roman" w:eastAsia="等线" w:cs="Times New Roman"/>
                <w:sz w:val="20"/>
                <w:szCs w:val="20"/>
                <w:lang w:val="en-CA"/>
              </w:rPr>
            </w:pPr>
            <w:r>
              <w:rPr>
                <w:rFonts w:hint="default" w:ascii="Times New Roman" w:hAnsi="Times New Roman" w:eastAsia="等线" w:cs="Times New Roman"/>
                <w:sz w:val="20"/>
                <w:szCs w:val="20"/>
                <w:lang w:val="en-CA"/>
              </w:rPr>
              <w:t>One downlink reference timing is supported and applied to both TAGs.</w:t>
            </w:r>
          </w:p>
          <w:p w14:paraId="5391FEA8">
            <w:pPr>
              <w:pStyle w:val="15"/>
              <w:numPr>
                <w:ilvl w:val="1"/>
                <w:numId w:val="16"/>
              </w:numPr>
              <w:rPr>
                <w:rFonts w:hint="default" w:ascii="Times New Roman" w:hAnsi="Times New Roman" w:eastAsia="等线" w:cs="Times New Roman"/>
                <w:sz w:val="20"/>
                <w:szCs w:val="20"/>
                <w:lang w:val="en-CA"/>
              </w:rPr>
            </w:pPr>
            <w:r>
              <w:rPr>
                <w:rFonts w:hint="default" w:ascii="Times New Roman" w:hAnsi="Times New Roman" w:cs="Times New Roman"/>
                <w:sz w:val="20"/>
                <w:szCs w:val="20"/>
              </w:rPr>
              <w:t>(FFS) Note: UE autonomous TA adjustment is only applicable to the first TAG</w:t>
            </w:r>
          </w:p>
          <w:p w14:paraId="7BDBA9DB">
            <w:pPr>
              <w:numPr>
                <w:ilvl w:val="0"/>
                <w:numId w:val="16"/>
              </w:numPr>
              <w:jc w:val="both"/>
              <w:rPr>
                <w:rFonts w:hint="default" w:ascii="Times New Roman" w:hAnsi="Times New Roman" w:eastAsia="等线" w:cs="Times New Roman"/>
                <w:sz w:val="20"/>
                <w:szCs w:val="20"/>
                <w:lang w:val="en-CA"/>
              </w:rPr>
            </w:pPr>
            <w:r>
              <w:rPr>
                <w:rFonts w:hint="default" w:ascii="Times New Roman" w:hAnsi="Times New Roman" w:eastAsia="等线" w:cs="Times New Roman"/>
                <w:sz w:val="20"/>
                <w:szCs w:val="20"/>
                <w:lang w:val="en-CA"/>
              </w:rPr>
              <w:t xml:space="preserve">One single </w:t>
            </w:r>
            <w:r>
              <w:rPr>
                <w:rFonts w:hint="default" w:ascii="Times New Roman" w:hAnsi="Times New Roman" w:eastAsia="等线" w:cs="Times New Roman"/>
                <w:i/>
                <w:iCs/>
                <w:sz w:val="20"/>
                <w:szCs w:val="20"/>
                <w:lang w:val="en-CA"/>
              </w:rPr>
              <w:t>n-TimingAdvanceoffset</w:t>
            </w:r>
            <w:r>
              <w:rPr>
                <w:rFonts w:hint="default" w:ascii="Times New Roman" w:hAnsi="Times New Roman" w:eastAsia="等线" w:cs="Times New Roman"/>
                <w:sz w:val="20"/>
                <w:szCs w:val="20"/>
                <w:lang w:val="en-CA"/>
              </w:rPr>
              <w:t xml:space="preserve"> is configured and applied to both TAGs.</w:t>
            </w:r>
          </w:p>
          <w:p w14:paraId="45EB2D41">
            <w:pPr>
              <w:pStyle w:val="15"/>
              <w:numPr>
                <w:ilvl w:val="0"/>
                <w:numId w:val="16"/>
              </w:numPr>
              <w:rPr>
                <w:rFonts w:hint="default" w:ascii="Times New Roman" w:hAnsi="Times New Roman" w:eastAsia="等线" w:cs="Times New Roman"/>
                <w:sz w:val="20"/>
                <w:szCs w:val="20"/>
              </w:rPr>
            </w:pPr>
            <w:r>
              <w:rPr>
                <w:rFonts w:hint="default" w:ascii="Times New Roman" w:hAnsi="Times New Roman" w:eastAsia="等线" w:cs="Times New Roman"/>
                <w:sz w:val="20"/>
                <w:szCs w:val="20"/>
                <w:lang w:val="en-CA" w:eastAsia="zh-CN"/>
              </w:rPr>
              <w:t>Any of the TCI states can be associated with any one of the two TAGs.</w:t>
            </w:r>
          </w:p>
          <w:p w14:paraId="663638FD">
            <w:pPr>
              <w:pStyle w:val="15"/>
              <w:numPr>
                <w:ilvl w:val="0"/>
                <w:numId w:val="16"/>
              </w:num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The RAR carrying TA adjustment for those 2 TAGs is reused for Rel-19 2TA </w:t>
            </w:r>
          </w:p>
          <w:p w14:paraId="6E8E8044">
            <w:pPr>
              <w:pStyle w:val="15"/>
              <w:numPr>
                <w:ilvl w:val="0"/>
                <w:numId w:val="16"/>
              </w:num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 MAC CE based TA adjustment for 2 TAGs is reused for Rel-19 2TA.</w:t>
            </w:r>
          </w:p>
          <w:p w14:paraId="5C7F009D">
            <w:pPr>
              <w:pStyle w:val="15"/>
              <w:numPr>
                <w:ilvl w:val="0"/>
                <w:numId w:val="16"/>
              </w:num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Introduce the </w:t>
            </w:r>
            <w:r>
              <w:rPr>
                <w:rFonts w:hint="default" w:ascii="Times New Roman" w:hAnsi="Times New Roman" w:eastAsia="等线" w:cs="Times New Roman"/>
                <w:sz w:val="20"/>
                <w:szCs w:val="20"/>
                <w:lang w:val="en-US"/>
              </w:rPr>
              <w:t xml:space="preserve">optional </w:t>
            </w:r>
            <w:r>
              <w:rPr>
                <w:rFonts w:hint="default" w:ascii="Times New Roman" w:hAnsi="Times New Roman" w:eastAsia="等线" w:cs="Times New Roman"/>
                <w:sz w:val="20"/>
                <w:szCs w:val="20"/>
              </w:rPr>
              <w:t>UE capability of “Overlapping UL transmission reduction” for Rel-19 2TA</w:t>
            </w:r>
          </w:p>
          <w:p w14:paraId="03E54954">
            <w:pPr>
              <w:pStyle w:val="15"/>
              <w:numPr>
                <w:ilvl w:val="1"/>
                <w:numId w:val="16"/>
              </w:numPr>
              <w:rPr>
                <w:rFonts w:hint="default" w:ascii="Times New Roman" w:hAnsi="Times New Roman" w:cs="Times New Roman"/>
                <w:sz w:val="20"/>
                <w:szCs w:val="20"/>
                <w:lang w:eastAsia="zh-CN"/>
              </w:rPr>
            </w:pPr>
            <w:r>
              <w:rPr>
                <w:rFonts w:hint="default" w:ascii="Times New Roman" w:hAnsi="Times New Roman" w:eastAsia="等线" w:cs="Times New Roman"/>
                <w:sz w:val="20"/>
                <w:szCs w:val="20"/>
              </w:rPr>
              <w:t>If UE does not report this UE capability, UE does not expect two UL transmissions associated with different TAGs are overlapped.</w:t>
            </w:r>
          </w:p>
          <w:p w14:paraId="4E243B85">
            <w:pPr>
              <w:pStyle w:val="15"/>
              <w:numPr>
                <w:ilvl w:val="0"/>
                <w:numId w:val="16"/>
              </w:num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 xml:space="preserve">FFS: UE does not expect that in intra-slot TDM PUSCH type-B repetition transmission, </w:t>
            </w:r>
            <w:r>
              <w:rPr>
                <w:rFonts w:hint="default" w:ascii="Times New Roman" w:hAnsi="Times New Roman" w:eastAsia="等线" w:cs="Times New Roman"/>
                <w:sz w:val="20"/>
                <w:szCs w:val="20"/>
              </w:rPr>
              <w:t>two consecutive repetitions associated with different TAGs are overlapped.</w:t>
            </w:r>
          </w:p>
          <w:p w14:paraId="641D5FA5">
            <w:pPr>
              <w:pStyle w:val="15"/>
              <w:widowControl w:val="0"/>
              <w:numPr>
                <w:ilvl w:val="0"/>
                <w:numId w:val="0"/>
              </w:numPr>
              <w:jc w:val="both"/>
              <w:rPr>
                <w:rFonts w:hint="default" w:ascii="Times New Roman" w:hAnsi="Times New Roman" w:eastAsia="等线" w:cs="Times New Roman"/>
                <w:sz w:val="20"/>
                <w:szCs w:val="20"/>
              </w:rPr>
            </w:pPr>
          </w:p>
          <w:p w14:paraId="4A4DDE99">
            <w:pPr>
              <w:rPr>
                <w:rFonts w:ascii="Times New Roman" w:hAnsi="Times New Roman" w:eastAsia="等线"/>
                <w:sz w:val="20"/>
                <w:szCs w:val="20"/>
              </w:rPr>
            </w:pPr>
            <w:r>
              <w:rPr>
                <w:rFonts w:ascii="Times New Roman" w:hAnsi="Times New Roman" w:eastAsia="等线"/>
                <w:sz w:val="20"/>
                <w:szCs w:val="20"/>
              </w:rPr>
              <w:t>For indicating PL offset for PDCCH-order PRACH, introduce a new 1-bit DCI field in DCI format 1_0:</w:t>
            </w:r>
          </w:p>
          <w:p w14:paraId="6DFDA758">
            <w:pPr>
              <w:numPr>
                <w:ilvl w:val="0"/>
                <w:numId w:val="17"/>
              </w:numPr>
              <w:jc w:val="both"/>
              <w:rPr>
                <w:rFonts w:ascii="Times New Roman" w:hAnsi="Times New Roman" w:eastAsia="等线"/>
                <w:sz w:val="20"/>
                <w:szCs w:val="20"/>
              </w:rPr>
            </w:pPr>
            <w:r>
              <w:rPr>
                <w:rFonts w:ascii="Times New Roman" w:hAnsi="Times New Roman" w:eastAsia="等线"/>
                <w:sz w:val="20"/>
                <w:szCs w:val="20"/>
              </w:rPr>
              <w:t>This DCI field exists when the corresponding RRC parameter (which is a new RRC used to configure the presence of this 1-bit DCI field) is enabled and at least one TCI state is configured with PL offset.</w:t>
            </w:r>
          </w:p>
          <w:p w14:paraId="5637B0E7">
            <w:pPr>
              <w:numPr>
                <w:ilvl w:val="0"/>
                <w:numId w:val="17"/>
              </w:numPr>
              <w:jc w:val="both"/>
              <w:rPr>
                <w:rFonts w:ascii="Times New Roman" w:hAnsi="Times New Roman" w:eastAsia="等线"/>
                <w:sz w:val="20"/>
                <w:szCs w:val="20"/>
              </w:rPr>
            </w:pPr>
            <w:r>
              <w:rPr>
                <w:rFonts w:ascii="Times New Roman" w:hAnsi="Times New Roman" w:eastAsia="等线"/>
                <w:sz w:val="20"/>
                <w:szCs w:val="20"/>
              </w:rPr>
              <w:t xml:space="preserve">When one joint/UL TCI state is indicated in Rel-17 unified TCI, </w:t>
            </w:r>
          </w:p>
          <w:p w14:paraId="6EF1C04D">
            <w:pPr>
              <w:numPr>
                <w:ilvl w:val="1"/>
                <w:numId w:val="17"/>
              </w:numPr>
              <w:jc w:val="both"/>
              <w:rPr>
                <w:rFonts w:ascii="Times New Roman" w:hAnsi="Times New Roman" w:eastAsia="等线"/>
                <w:sz w:val="20"/>
                <w:szCs w:val="20"/>
              </w:rPr>
            </w:pPr>
            <w:r>
              <w:rPr>
                <w:rFonts w:ascii="Times New Roman" w:hAnsi="Times New Roman" w:eastAsia="等线"/>
                <w:sz w:val="20"/>
                <w:szCs w:val="20"/>
              </w:rPr>
              <w:t xml:space="preserve">the bit field index 0 of this field indicates that PL offset is not included in the PRACH transmission power calculation </w:t>
            </w:r>
          </w:p>
          <w:p w14:paraId="03B0CD1E">
            <w:pPr>
              <w:numPr>
                <w:ilvl w:val="1"/>
                <w:numId w:val="17"/>
              </w:numPr>
              <w:jc w:val="both"/>
              <w:rPr>
                <w:rFonts w:ascii="Times New Roman" w:hAnsi="Times New Roman" w:eastAsia="等线"/>
                <w:sz w:val="20"/>
                <w:szCs w:val="20"/>
              </w:rPr>
            </w:pPr>
            <w:r>
              <w:rPr>
                <w:rFonts w:ascii="Times New Roman" w:hAnsi="Times New Roman" w:eastAsia="等线"/>
                <w:sz w:val="20"/>
                <w:szCs w:val="20"/>
              </w:rPr>
              <w:t>the bit field index 1 of this field indicates that the PL offset associated with the indicated TCI state is included in the PRACH transmission power.</w:t>
            </w:r>
          </w:p>
          <w:p w14:paraId="226CA695">
            <w:pPr>
              <w:numPr>
                <w:ilvl w:val="0"/>
                <w:numId w:val="17"/>
              </w:numPr>
              <w:jc w:val="both"/>
              <w:rPr>
                <w:rFonts w:ascii="Times New Roman" w:hAnsi="Times New Roman"/>
                <w:sz w:val="20"/>
                <w:szCs w:val="20"/>
                <w:lang w:eastAsia="zh-CN"/>
              </w:rPr>
            </w:pPr>
            <w:r>
              <w:rPr>
                <w:rFonts w:ascii="Times New Roman" w:hAnsi="Times New Roman" w:eastAsia="等线"/>
                <w:sz w:val="20"/>
                <w:szCs w:val="20"/>
                <w:lang w:eastAsia="zh-CN"/>
              </w:rPr>
              <w:t>FFS: Whether the bit field can be used to indicate other information</w:t>
            </w:r>
          </w:p>
          <w:p w14:paraId="15B8BE98">
            <w:pPr>
              <w:numPr>
                <w:ilvl w:val="0"/>
                <w:numId w:val="17"/>
              </w:numPr>
              <w:jc w:val="both"/>
              <w:rPr>
                <w:rFonts w:ascii="Times New Roman" w:hAnsi="Times New Roman"/>
                <w:sz w:val="20"/>
                <w:szCs w:val="20"/>
                <w:lang w:eastAsia="zh-CN"/>
              </w:rPr>
            </w:pPr>
            <w:r>
              <w:rPr>
                <w:rFonts w:ascii="Times New Roman" w:hAnsi="Times New Roman" w:eastAsia="等线"/>
                <w:sz w:val="20"/>
                <w:szCs w:val="20"/>
                <w:lang w:eastAsia="zh-CN"/>
              </w:rPr>
              <w:t>FFS: When two joint/UL TCI states are indicated in Rel-18 unified TCI</w:t>
            </w:r>
          </w:p>
          <w:p w14:paraId="6CB8E202">
            <w:pPr>
              <w:pStyle w:val="15"/>
              <w:widowControl w:val="0"/>
              <w:numPr>
                <w:ilvl w:val="0"/>
                <w:numId w:val="0"/>
              </w:numPr>
              <w:jc w:val="both"/>
              <w:rPr>
                <w:rFonts w:hint="default" w:ascii="Times New Roman" w:hAnsi="Times New Roman" w:eastAsia="等线" w:cs="Times New Roman"/>
                <w:sz w:val="20"/>
                <w:szCs w:val="20"/>
                <w:lang w:val="en-US" w:eastAsia="zh-CN"/>
              </w:rPr>
            </w:pPr>
          </w:p>
        </w:tc>
      </w:tr>
    </w:tbl>
    <w:p w14:paraId="5224C783">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lang w:val="en-US" w:eastAsia="zh-CN"/>
        </w:rPr>
      </w:pPr>
    </w:p>
    <w:p w14:paraId="395FD5CB">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According to RAN1 agreements, one downlink reference timing is supported. For the ICBM based </w:t>
      </w:r>
      <w:r>
        <w:rPr>
          <w:rFonts w:hint="default" w:ascii="Times New Roman" w:hAnsi="Times New Roman" w:eastAsia="等线" w:cs="Times New Roman"/>
          <w:sz w:val="20"/>
          <w:szCs w:val="20"/>
          <w:highlight w:val="none"/>
        </w:rPr>
        <w:t>asymmetric DL sTRP/UL mTRP</w:t>
      </w:r>
      <w:r>
        <w:rPr>
          <w:rFonts w:hint="eastAsia" w:ascii="Times New Roman" w:hAnsi="Times New Roman" w:eastAsia="等线" w:cs="Times New Roman"/>
          <w:sz w:val="20"/>
          <w:szCs w:val="20"/>
          <w:highlight w:val="none"/>
          <w:lang w:val="en-US" w:eastAsia="zh-CN"/>
        </w:rPr>
        <w:t xml:space="preserve">, </w:t>
      </w:r>
      <w:r>
        <w:rPr>
          <w:rFonts w:hint="eastAsia" w:ascii="Times New Roman" w:hAnsi="Times New Roman" w:cs="Times New Roman"/>
          <w:sz w:val="20"/>
          <w:szCs w:val="20"/>
          <w:highlight w:val="none"/>
          <w:lang w:val="en-US" w:eastAsia="zh-CN"/>
        </w:rPr>
        <w:t>the outdoor macro site (serving cell) and the the indoor pico site (TRP with additional PCI) transmit SSB, the downlink reference timing can be based on the DL timing of serving cell.</w:t>
      </w:r>
    </w:p>
    <w:p w14:paraId="5F17463B">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According to legacy TS 38.133, for </w:t>
      </w:r>
      <w:r>
        <w:rPr>
          <w:rFonts w:hint="default" w:ascii="Times New Roman" w:hAnsi="Times New Roman" w:cs="Times New Roman"/>
          <w:sz w:val="20"/>
          <w:szCs w:val="20"/>
          <w:lang w:val="en-US"/>
        </w:rPr>
        <w:t>multi-DCI based multi-TRP operation with two TAs</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 xml:space="preserve">the reference point for </w:t>
      </w:r>
      <w:r>
        <w:rPr>
          <w:rFonts w:hint="default" w:ascii="Times New Roman" w:hAnsi="Times New Roman" w:cs="Times New Roman"/>
          <w:sz w:val="20"/>
          <w:szCs w:val="20"/>
        </w:rPr>
        <w:t>PRACH transmission</w:t>
      </w:r>
      <w:r>
        <w:rPr>
          <w:rFonts w:hint="eastAsia" w:ascii="Times New Roman" w:hAnsi="Times New Roman" w:cs="Times New Roman"/>
          <w:sz w:val="20"/>
          <w:szCs w:val="20"/>
          <w:lang w:val="en-US" w:eastAsia="zh-CN"/>
        </w:rPr>
        <w:t xml:space="preserve"> may be the DL timing of the reference cell associated with the first TAG or the DL timing of the reference cell associated with the second TAG. However, for Rel-19, since there is only one DL reference timing, the spec need to be updated. Also, according to legacy TS 38.133, </w:t>
      </w:r>
      <w:r>
        <w:rPr>
          <w:rFonts w:hint="default" w:ascii="Times New Roman" w:hAnsi="Times New Roman" w:cs="Times New Roman"/>
          <w:sz w:val="20"/>
          <w:szCs w:val="20"/>
          <w:lang w:val="en-US"/>
        </w:rPr>
        <w:t xml:space="preserve">the reference point for </w:t>
      </w:r>
      <w:r>
        <w:rPr>
          <w:rFonts w:hint="default" w:ascii="Times New Roman" w:hAnsi="Times New Roman" w:cs="Times New Roman"/>
          <w:sz w:val="20"/>
          <w:szCs w:val="20"/>
        </w:rPr>
        <w:t>PRACH transmission</w:t>
      </w:r>
      <w:r>
        <w:rPr>
          <w:rFonts w:hint="eastAsia" w:ascii="Times New Roman" w:hAnsi="Times New Roman" w:cs="Times New Roman"/>
          <w:sz w:val="20"/>
          <w:szCs w:val="20"/>
          <w:lang w:val="en-US" w:eastAsia="zh-CN"/>
        </w:rPr>
        <w:t xml:space="preserve"> is related with the value of</w:t>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rPr>
        <w:t>“PRACH association indicator”</w:t>
      </w:r>
      <w:r>
        <w:rPr>
          <w:rFonts w:hint="eastAsia" w:ascii="Times New Roman" w:hAnsi="Times New Roman" w:cs="Times New Roman"/>
          <w:sz w:val="20"/>
          <w:szCs w:val="20"/>
          <w:lang w:val="en-US" w:eastAsia="zh-CN"/>
        </w:rPr>
        <w:t xml:space="preserve">. However, </w:t>
      </w:r>
      <w:r>
        <w:rPr>
          <w:rFonts w:hint="default" w:ascii="Times New Roman" w:hAnsi="Times New Roman" w:cs="Times New Roman"/>
          <w:sz w:val="20"/>
          <w:szCs w:val="20"/>
          <w:highlight w:val="none"/>
          <w:lang w:val="en-US"/>
        </w:rPr>
        <w:t>“PRACH association indicator”</w:t>
      </w:r>
      <w:r>
        <w:rPr>
          <w:rFonts w:hint="eastAsia" w:ascii="Times New Roman" w:hAnsi="Times New Roman" w:cs="Times New Roman"/>
          <w:sz w:val="20"/>
          <w:szCs w:val="20"/>
          <w:highlight w:val="none"/>
          <w:lang w:val="en-US" w:eastAsia="zh-CN"/>
        </w:rPr>
        <w:t xml:space="preserve"> is not used for Rel-19 </w:t>
      </w:r>
      <w:r>
        <w:rPr>
          <w:rFonts w:hint="default" w:ascii="Times New Roman" w:hAnsi="Times New Roman" w:eastAsia="等线" w:cs="Times New Roman"/>
          <w:sz w:val="20"/>
          <w:szCs w:val="20"/>
        </w:rPr>
        <w:t>asymmetric DL sTRP/UL mTRP</w:t>
      </w:r>
      <w:r>
        <w:rPr>
          <w:rFonts w:hint="eastAsia" w:ascii="Times New Roman" w:hAnsi="Times New Roman" w:eastAsia="等线" w:cs="Times New Roman"/>
          <w:sz w:val="20"/>
          <w:szCs w:val="20"/>
          <w:lang w:val="en-US" w:eastAsia="zh-CN"/>
        </w:rPr>
        <w:t xml:space="preserve">. According to RAN1 agreements, new </w:t>
      </w:r>
      <w:r>
        <w:rPr>
          <w:rFonts w:hint="eastAsia" w:ascii="Times New Roman" w:hAnsi="Times New Roman" w:cs="Times New Roman"/>
          <w:sz w:val="20"/>
          <w:szCs w:val="20"/>
          <w:highlight w:val="none"/>
          <w:lang w:val="en-US" w:eastAsia="zh-CN"/>
        </w:rPr>
        <w:t xml:space="preserve">DCI field is introduced., which means legacy timing requirements need to be updated to support two TA. </w:t>
      </w:r>
    </w:p>
    <w:p w14:paraId="3A6A31D2">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5: for the supporting of 2TA, </w:t>
      </w:r>
      <w:r>
        <w:rPr>
          <w:rFonts w:hint="default" w:ascii="Times New Roman" w:hAnsi="Times New Roman" w:cs="Times New Roman"/>
          <w:b/>
          <w:bCs/>
          <w:i/>
          <w:iCs/>
          <w:sz w:val="20"/>
          <w:szCs w:val="20"/>
          <w:highlight w:val="none"/>
          <w:lang w:val="en-US" w:eastAsia="zh-CN"/>
        </w:rPr>
        <w:t>UE transmit timing</w:t>
      </w:r>
      <w:r>
        <w:rPr>
          <w:rFonts w:hint="eastAsia" w:ascii="Times New Roman" w:hAnsi="Times New Roman" w:cs="Times New Roman"/>
          <w:b/>
          <w:bCs/>
          <w:i/>
          <w:iCs/>
          <w:sz w:val="20"/>
          <w:szCs w:val="20"/>
          <w:highlight w:val="none"/>
          <w:lang w:val="en-US" w:eastAsia="zh-CN"/>
        </w:rPr>
        <w:t xml:space="preserve"> requirements need to be updated considering that one </w:t>
      </w:r>
      <w:r>
        <w:rPr>
          <w:rFonts w:hint="default" w:ascii="Times New Roman" w:hAnsi="Times New Roman" w:cs="Times New Roman"/>
          <w:b/>
          <w:bCs/>
          <w:i/>
          <w:iCs/>
          <w:sz w:val="20"/>
          <w:szCs w:val="20"/>
          <w:highlight w:val="none"/>
          <w:lang w:val="en-CA" w:eastAsia="zh-CN"/>
        </w:rPr>
        <w:t xml:space="preserve">downlink reference timing </w:t>
      </w:r>
      <w:r>
        <w:rPr>
          <w:rFonts w:hint="eastAsia" w:ascii="Times New Roman" w:hAnsi="Times New Roman" w:cs="Times New Roman"/>
          <w:b/>
          <w:bCs/>
          <w:i/>
          <w:iCs/>
          <w:sz w:val="20"/>
          <w:szCs w:val="20"/>
          <w:highlight w:val="none"/>
          <w:lang w:val="en-US" w:eastAsia="zh-CN"/>
        </w:rPr>
        <w:t>and new DCI filed are</w:t>
      </w:r>
      <w:r>
        <w:rPr>
          <w:rFonts w:hint="default" w:ascii="Times New Roman" w:hAnsi="Times New Roman" w:cs="Times New Roman"/>
          <w:b/>
          <w:bCs/>
          <w:i/>
          <w:iCs/>
          <w:sz w:val="20"/>
          <w:szCs w:val="20"/>
          <w:highlight w:val="none"/>
          <w:lang w:val="en-CA" w:eastAsia="zh-CN"/>
        </w:rPr>
        <w:t xml:space="preserve"> </w:t>
      </w:r>
      <w:r>
        <w:rPr>
          <w:rFonts w:hint="eastAsia" w:ascii="Times New Roman" w:hAnsi="Times New Roman" w:cs="Times New Roman"/>
          <w:b/>
          <w:bCs/>
          <w:i/>
          <w:iCs/>
          <w:sz w:val="20"/>
          <w:szCs w:val="20"/>
          <w:highlight w:val="none"/>
          <w:lang w:val="en-US" w:eastAsia="zh-CN"/>
        </w:rPr>
        <w:t>agre</w:t>
      </w:r>
      <w:r>
        <w:rPr>
          <w:rFonts w:hint="default" w:ascii="Times New Roman" w:hAnsi="Times New Roman" w:cs="Times New Roman"/>
          <w:b/>
          <w:bCs/>
          <w:i/>
          <w:iCs/>
          <w:sz w:val="20"/>
          <w:szCs w:val="20"/>
          <w:highlight w:val="none"/>
          <w:lang w:val="en-CA" w:eastAsia="zh-CN"/>
        </w:rPr>
        <w:t>ed</w:t>
      </w:r>
      <w:r>
        <w:rPr>
          <w:rFonts w:hint="eastAsia" w:ascii="Times New Roman" w:hAnsi="Times New Roman" w:cs="Times New Roman"/>
          <w:b/>
          <w:bCs/>
          <w:i/>
          <w:iCs/>
          <w:sz w:val="20"/>
          <w:szCs w:val="20"/>
          <w:highlight w:val="none"/>
          <w:lang w:val="en-US" w:eastAsia="zh-CN"/>
        </w:rPr>
        <w:t xml:space="preserve"> in RAN1.</w:t>
      </w:r>
    </w:p>
    <w:p w14:paraId="001F08F6">
      <w:pPr>
        <w:keepNext w:val="0"/>
        <w:keepLines w:val="0"/>
        <w:pageBreakBefore w:val="0"/>
        <w:widowControl w:val="0"/>
        <w:kinsoku/>
        <w:wordWrap/>
        <w:overflowPunct/>
        <w:topLinePunct w:val="0"/>
        <w:autoSpaceDE/>
        <w:autoSpaceDN/>
        <w:bidi w:val="0"/>
        <w:adjustRightInd/>
        <w:snapToGrid w:val="0"/>
        <w:spacing w:after="180"/>
        <w:ind w:left="0" w:firstLine="0"/>
        <w:textAlignment w:val="auto"/>
        <w:rPr>
          <w:rFonts w:hint="default" w:ascii="Times New Roman" w:hAnsi="Times New Roman" w:eastAsia="宋体" w:cs="Times New Roman"/>
          <w:sz w:val="20"/>
          <w:szCs w:val="20"/>
          <w:lang w:val="en-US" w:eastAsia="zh-CN"/>
        </w:rPr>
      </w:pPr>
    </w:p>
    <w:bookmarkEnd w:id="9"/>
    <w:bookmarkEnd w:id="10"/>
    <w:p w14:paraId="3D408D4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D56FF17">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requirements on UE reporting enhancement for CJT calibration and enhancements for asymmetric DL sTRP/UL mTRP scenarios</w:t>
      </w:r>
      <w:r>
        <w:rPr>
          <w:rFonts w:hint="eastAsia" w:ascii="Times New Roman" w:hAnsi="Times New Roman"/>
          <w:sz w:val="20"/>
          <w:szCs w:val="20"/>
          <w:highlight w:val="none"/>
        </w:rPr>
        <w:t>. The proposals are:</w:t>
      </w:r>
    </w:p>
    <w:p w14:paraId="2F3B94F3">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w:t>
      </w:r>
      <w:r>
        <w:rPr>
          <w:rFonts w:hint="eastAsia" w:ascii="Times New Roman" w:hAnsi="Times New Roman" w:eastAsia="宋体" w:cs="Times New Roman"/>
          <w:b/>
          <w:bCs/>
          <w:i/>
          <w:iCs/>
          <w:sz w:val="20"/>
          <w:szCs w:val="20"/>
          <w:lang w:val="en-US" w:eastAsia="zh-CN"/>
        </w:rPr>
        <w:t>UE reporting enhancement for CJT calibration, it is proposed to define accuacy requirements</w:t>
      </w:r>
      <w:r>
        <w:rPr>
          <w:rFonts w:hint="eastAsia" w:ascii="Times New Roman" w:hAnsi="Times New Roman" w:cs="Times New Roman"/>
          <w:b/>
          <w:bCs/>
          <w:i/>
          <w:iCs/>
          <w:sz w:val="20"/>
          <w:szCs w:val="20"/>
          <w:lang w:val="en-US" w:eastAsia="zh-CN"/>
        </w:rPr>
        <w:t>.</w:t>
      </w:r>
    </w:p>
    <w:p w14:paraId="0E5732BE">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w:t>
      </w:r>
      <w:r>
        <w:rPr>
          <w:rFonts w:hint="eastAsia" w:ascii="Times New Roman" w:hAnsi="Times New Roman" w:eastAsia="宋体" w:cs="Times New Roman"/>
          <w:b/>
          <w:bCs/>
          <w:i/>
          <w:iCs/>
          <w:sz w:val="20"/>
          <w:szCs w:val="20"/>
          <w:lang w:val="en-US" w:eastAsia="zh-CN"/>
        </w:rPr>
        <w:t xml:space="preserve">UE reporting enhancement for CJT calibration, it is proposed to define report mapping for </w:t>
      </w:r>
      <w:r>
        <w:rPr>
          <w:rFonts w:hint="eastAsia" w:ascii="Times New Roman" w:hAnsi="Times New Roman" w:cs="Times New Roman"/>
          <w:b/>
          <w:bCs/>
          <w:i/>
          <w:iCs/>
          <w:sz w:val="20"/>
          <w:szCs w:val="20"/>
          <w:lang w:val="en-US" w:eastAsia="zh-CN"/>
        </w:rPr>
        <w:t>delay offset reporting, frequency offset reporting and phase offset reporting.</w:t>
      </w:r>
    </w:p>
    <w:p w14:paraId="2E0D39CD">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lang w:val="en-US" w:eastAsia="zh-CN"/>
        </w:rPr>
      </w:pPr>
    </w:p>
    <w:p w14:paraId="004FD05D">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Observation 1: according to RAN1 agreements, ICBM is supported in asymmetric DL sTRP/UL mTRP scenarios. </w:t>
      </w:r>
    </w:p>
    <w:p w14:paraId="0DD1743D">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w:t>
      </w:r>
      <w:r>
        <w:rPr>
          <w:rFonts w:hint="default" w:ascii="Times New Roman" w:hAnsi="Times New Roman" w:cs="Times New Roman"/>
          <w:b/>
          <w:bCs/>
          <w:i/>
          <w:iCs/>
          <w:sz w:val="20"/>
          <w:szCs w:val="20"/>
        </w:rPr>
        <w:t xml:space="preserve">pathloss offset </w:t>
      </w:r>
      <w:r>
        <w:rPr>
          <w:rFonts w:hint="eastAsia" w:ascii="Times New Roman" w:hAnsi="Times New Roman" w:cs="Times New Roman"/>
          <w:b/>
          <w:bCs/>
          <w:i/>
          <w:iCs/>
          <w:sz w:val="20"/>
          <w:szCs w:val="20"/>
          <w:lang w:val="en-US" w:eastAsia="zh-CN"/>
        </w:rPr>
        <w:t xml:space="preserve">has no impact on </w:t>
      </w:r>
      <w:r>
        <w:rPr>
          <w:rFonts w:hint="eastAsia" w:ascii="Times New Roman" w:hAnsi="Times New Roman" w:cs="Times New Roman"/>
          <w:b/>
          <w:bCs/>
          <w:i/>
          <w:iCs/>
          <w:sz w:val="20"/>
          <w:szCs w:val="20"/>
          <w:highlight w:val="none"/>
          <w:lang w:val="en-US" w:eastAsia="zh-CN"/>
        </w:rPr>
        <w:t>ICBM based asymmetric DL and UL transmission, i.e. legacy requirements can be reused.</w:t>
      </w:r>
    </w:p>
    <w:p w14:paraId="0FAF1309">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4: it is proposed that legacy </w:t>
      </w:r>
      <w:r>
        <w:rPr>
          <w:rFonts w:hint="default" w:ascii="Times New Roman" w:hAnsi="Times New Roman" w:eastAsia="宋体" w:cs="Times New Roman"/>
          <w:b/>
          <w:bCs/>
          <w:i/>
          <w:iCs/>
          <w:sz w:val="20"/>
          <w:szCs w:val="20"/>
          <w:highlight w:val="none"/>
          <w:lang w:eastAsia="zh-CN"/>
        </w:rPr>
        <w:t>UL TCI state switching delay requirement</w:t>
      </w:r>
      <w:r>
        <w:rPr>
          <w:rFonts w:hint="eastAsia" w:ascii="Times New Roman" w:hAnsi="Times New Roman" w:cs="Times New Roman"/>
          <w:b/>
          <w:bCs/>
          <w:i/>
          <w:iCs/>
          <w:sz w:val="20"/>
          <w:szCs w:val="20"/>
          <w:highlight w:val="none"/>
          <w:lang w:val="en-US" w:eastAsia="zh-CN"/>
        </w:rPr>
        <w:t>s can be reused for ICBM based asymmetric DL and UL transmission.</w:t>
      </w:r>
    </w:p>
    <w:p w14:paraId="167B264C">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5: for the supporting of 2TA, </w:t>
      </w:r>
      <w:r>
        <w:rPr>
          <w:rFonts w:hint="default" w:ascii="Times New Roman" w:hAnsi="Times New Roman" w:cs="Times New Roman"/>
          <w:b/>
          <w:bCs/>
          <w:i/>
          <w:iCs/>
          <w:sz w:val="20"/>
          <w:szCs w:val="20"/>
          <w:highlight w:val="none"/>
          <w:lang w:val="en-US" w:eastAsia="zh-CN"/>
        </w:rPr>
        <w:t>UE transmit timing</w:t>
      </w:r>
      <w:r>
        <w:rPr>
          <w:rFonts w:hint="eastAsia" w:ascii="Times New Roman" w:hAnsi="Times New Roman" w:cs="Times New Roman"/>
          <w:b/>
          <w:bCs/>
          <w:i/>
          <w:iCs/>
          <w:sz w:val="20"/>
          <w:szCs w:val="20"/>
          <w:highlight w:val="none"/>
          <w:lang w:val="en-US" w:eastAsia="zh-CN"/>
        </w:rPr>
        <w:t xml:space="preserve"> requirements need to be updated considering that one </w:t>
      </w:r>
      <w:r>
        <w:rPr>
          <w:rFonts w:hint="default" w:ascii="Times New Roman" w:hAnsi="Times New Roman" w:cs="Times New Roman"/>
          <w:b/>
          <w:bCs/>
          <w:i/>
          <w:iCs/>
          <w:sz w:val="20"/>
          <w:szCs w:val="20"/>
          <w:highlight w:val="none"/>
          <w:lang w:val="en-CA" w:eastAsia="zh-CN"/>
        </w:rPr>
        <w:t xml:space="preserve">downlink reference timing </w:t>
      </w:r>
      <w:r>
        <w:rPr>
          <w:rFonts w:hint="eastAsia" w:ascii="Times New Roman" w:hAnsi="Times New Roman" w:cs="Times New Roman"/>
          <w:b/>
          <w:bCs/>
          <w:i/>
          <w:iCs/>
          <w:sz w:val="20"/>
          <w:szCs w:val="20"/>
          <w:highlight w:val="none"/>
          <w:lang w:val="en-US" w:eastAsia="zh-CN"/>
        </w:rPr>
        <w:t>and new DCI filed are</w:t>
      </w:r>
      <w:r>
        <w:rPr>
          <w:rFonts w:hint="default" w:ascii="Times New Roman" w:hAnsi="Times New Roman" w:cs="Times New Roman"/>
          <w:b/>
          <w:bCs/>
          <w:i/>
          <w:iCs/>
          <w:sz w:val="20"/>
          <w:szCs w:val="20"/>
          <w:highlight w:val="none"/>
          <w:lang w:val="en-CA" w:eastAsia="zh-CN"/>
        </w:rPr>
        <w:t xml:space="preserve"> </w:t>
      </w:r>
      <w:r>
        <w:rPr>
          <w:rFonts w:hint="eastAsia" w:ascii="Times New Roman" w:hAnsi="Times New Roman" w:cs="Times New Roman"/>
          <w:b/>
          <w:bCs/>
          <w:i/>
          <w:iCs/>
          <w:sz w:val="20"/>
          <w:szCs w:val="20"/>
          <w:highlight w:val="none"/>
          <w:lang w:val="en-US" w:eastAsia="zh-CN"/>
        </w:rPr>
        <w:t>agre</w:t>
      </w:r>
      <w:r>
        <w:rPr>
          <w:rFonts w:hint="default" w:ascii="Times New Roman" w:hAnsi="Times New Roman" w:cs="Times New Roman"/>
          <w:b/>
          <w:bCs/>
          <w:i/>
          <w:iCs/>
          <w:sz w:val="20"/>
          <w:szCs w:val="20"/>
          <w:highlight w:val="none"/>
          <w:lang w:val="en-CA" w:eastAsia="zh-CN"/>
        </w:rPr>
        <w:t>ed</w:t>
      </w:r>
      <w:r>
        <w:rPr>
          <w:rFonts w:hint="eastAsia" w:ascii="Times New Roman" w:hAnsi="Times New Roman" w:cs="Times New Roman"/>
          <w:b/>
          <w:bCs/>
          <w:i/>
          <w:iCs/>
          <w:sz w:val="20"/>
          <w:szCs w:val="20"/>
          <w:highlight w:val="none"/>
          <w:lang w:val="en-US" w:eastAsia="zh-CN"/>
        </w:rPr>
        <w:t xml:space="preserve"> in RAN1.</w:t>
      </w:r>
    </w:p>
    <w:p w14:paraId="0A6DE77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1980034">
      <w:pPr>
        <w:pStyle w:val="13"/>
        <w:keepNext w:val="0"/>
        <w:keepLines w:val="0"/>
        <w:pageBreakBefore w:val="0"/>
        <w:framePr w:wrap="auto" w:vAnchor="margin" w:hAnchor="text" w:yAlign="inline"/>
        <w:widowControl w:val="0"/>
        <w:numPr>
          <w:ilvl w:val="0"/>
          <w:numId w:val="18"/>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RP-2</w:t>
      </w:r>
      <w:r>
        <w:rPr>
          <w:rFonts w:hint="default" w:ascii="Times New Roman" w:hAnsi="Times New Roman" w:eastAsia="宋体" w:cs="Times New Roman"/>
          <w:b w:val="0"/>
          <w:sz w:val="20"/>
          <w:lang w:val="en-US" w:eastAsia="zh-CN"/>
        </w:rPr>
        <w:t>34007</w:t>
      </w:r>
      <w:r>
        <w:rPr>
          <w:rFonts w:hint="default" w:ascii="Times New Roman" w:hAnsi="Times New Roman" w:eastAsia="宋体" w:cs="Times New Roman"/>
          <w:b w:val="0"/>
          <w:sz w:val="20"/>
          <w:lang w:eastAsia="zh-CN"/>
        </w:rPr>
        <w:t>, New WID: NR MIMO Phase 5</w:t>
      </w:r>
    </w:p>
    <w:p w14:paraId="1068FC56">
      <w:pPr>
        <w:pStyle w:val="13"/>
        <w:keepNext w:val="0"/>
        <w:keepLines w:val="0"/>
        <w:pageBreakBefore w:val="0"/>
        <w:framePr w:wrap="auto" w:vAnchor="margin" w:hAnchor="text" w:yAlign="inline"/>
        <w:widowControl w:val="0"/>
        <w:numPr>
          <w:ilvl w:val="0"/>
          <w:numId w:val="18"/>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eastAsia" w:ascii="Times New Roman" w:hAnsi="Times New Roman" w:eastAsia="宋体" w:cs="Times New Roman"/>
          <w:b w:val="0"/>
          <w:sz w:val="20"/>
          <w:lang w:val="en-US" w:eastAsia="zh-CN"/>
        </w:rPr>
        <w:t>RP-242394, WID revision: NR MIMO Phase 5</w:t>
      </w:r>
    </w:p>
    <w:p w14:paraId="27112BF3">
      <w:pPr>
        <w:pStyle w:val="13"/>
        <w:keepNext w:val="0"/>
        <w:keepLines w:val="0"/>
        <w:pageBreakBefore w:val="0"/>
        <w:framePr w:wrap="auto" w:vAnchor="margin" w:hAnchor="text" w:yAlign="inline"/>
        <w:widowControl w:val="0"/>
        <w:numPr>
          <w:ilvl w:val="0"/>
          <w:numId w:val="18"/>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2416921</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WF on RRM requirements for NR_MIMO_Ph5 (Part2)</w:t>
      </w:r>
      <w:r>
        <w:rPr>
          <w:rFonts w:hint="eastAsia" w:ascii="Times New Roman" w:hAnsi="Times New Roman" w:eastAsia="宋体" w:cs="Times New Roman"/>
          <w:b w:val="0"/>
          <w:sz w:val="20"/>
          <w:lang w:val="en-US" w:eastAsia="zh-CN"/>
        </w:rPr>
        <w:t>, MediaTek</w:t>
      </w:r>
    </w:p>
    <w:p w14:paraId="47AF1826">
      <w:pPr>
        <w:pStyle w:val="13"/>
        <w:keepNext w:val="0"/>
        <w:keepLines w:val="0"/>
        <w:pageBreakBefore w:val="0"/>
        <w:framePr w:wrap="auto" w:vAnchor="margin" w:hAnchor="text" w:yAlign="inline"/>
        <w:widowControl w:val="0"/>
        <w:numPr>
          <w:ilvl w:val="0"/>
          <w:numId w:val="18"/>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val="en-US" w:eastAsia="zh-CN"/>
        </w:rPr>
        <w:t xml:space="preserve">R4-2414035, </w:t>
      </w:r>
      <w:r>
        <w:rPr>
          <w:rFonts w:hint="default" w:ascii="Times New Roman" w:hAnsi="Times New Roman" w:eastAsia="宋体" w:cs="Times New Roman"/>
          <w:b w:val="0"/>
          <w:sz w:val="20"/>
          <w:lang w:eastAsia="zh-CN"/>
        </w:rPr>
        <w:t>WF on RRM requirements for NR_MIMO_Ph5</w:t>
      </w:r>
      <w:r>
        <w:rPr>
          <w:rFonts w:hint="default" w:ascii="Times New Roman" w:hAnsi="Times New Roman" w:eastAsia="宋体" w:cs="Times New Roman"/>
          <w:b w:val="0"/>
          <w:sz w:val="20"/>
          <w:lang w:val="en-US" w:eastAsia="zh-CN"/>
        </w:rPr>
        <w:t>, Samsung</w:t>
      </w:r>
    </w:p>
    <w:p w14:paraId="20B8873F">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0C47029B">
      <w:pPr>
        <w:pStyle w:val="13"/>
        <w:framePr w:wrap="auto" w:vAnchor="margin" w:hAnchor="text" w:yAlign="inline"/>
        <w:ind w:right="400"/>
        <w:jc w:val="both"/>
        <w:rPr>
          <w:rFonts w:ascii="Times" w:hAnsi="Times" w:eastAsia="宋体"/>
          <w:b w:val="0"/>
          <w:sz w:val="20"/>
          <w:lang w:eastAsia="zh-CN"/>
        </w:rPr>
      </w:pPr>
    </w:p>
    <w:p w14:paraId="3D5D040E">
      <w:pPr>
        <w:pStyle w:val="13"/>
        <w:framePr w:wrap="auto" w:vAnchor="margin" w:hAnchor="text" w:yAlign="inline"/>
        <w:ind w:right="400"/>
        <w:jc w:val="both"/>
        <w:rPr>
          <w:rFonts w:hint="eastAsia" w:ascii="Times" w:hAnsi="Times" w:eastAsia="宋体"/>
          <w:b w:val="0"/>
          <w:sz w:val="20"/>
          <w:lang w:val="en-US" w:eastAsia="zh-CN"/>
        </w:rPr>
      </w:pPr>
    </w:p>
    <w:p w14:paraId="43B07616"/>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845A2A"/>
    <w:multiLevelType w:val="multilevel"/>
    <w:tmpl w:val="01845A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21D65C1"/>
    <w:multiLevelType w:val="multilevel"/>
    <w:tmpl w:val="221D65C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2432758"/>
    <w:multiLevelType w:val="multilevel"/>
    <w:tmpl w:val="22432758"/>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15237D3"/>
    <w:multiLevelType w:val="multilevel"/>
    <w:tmpl w:val="415237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57F501D"/>
    <w:multiLevelType w:val="multilevel"/>
    <w:tmpl w:val="457F50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0546005"/>
    <w:multiLevelType w:val="multilevel"/>
    <w:tmpl w:val="505460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C7C46BA"/>
    <w:multiLevelType w:val="multilevel"/>
    <w:tmpl w:val="5C7C46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00023F3"/>
    <w:multiLevelType w:val="multilevel"/>
    <w:tmpl w:val="600023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023700B"/>
    <w:multiLevelType w:val="multilevel"/>
    <w:tmpl w:val="602370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253689D"/>
    <w:multiLevelType w:val="multilevel"/>
    <w:tmpl w:val="625368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6B51439B"/>
    <w:multiLevelType w:val="multilevel"/>
    <w:tmpl w:val="6B5143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7">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6"/>
  </w:num>
  <w:num w:numId="2">
    <w:abstractNumId w:val="4"/>
  </w:num>
  <w:num w:numId="3">
    <w:abstractNumId w:val="14"/>
  </w:num>
  <w:num w:numId="4">
    <w:abstractNumId w:val="17"/>
  </w:num>
  <w:num w:numId="5">
    <w:abstractNumId w:val="7"/>
  </w:num>
  <w:num w:numId="6">
    <w:abstractNumId w:val="11"/>
  </w:num>
  <w:num w:numId="7">
    <w:abstractNumId w:val="9"/>
  </w:num>
  <w:num w:numId="8">
    <w:abstractNumId w:val="15"/>
  </w:num>
  <w:num w:numId="9">
    <w:abstractNumId w:val="0"/>
  </w:num>
  <w:num w:numId="10">
    <w:abstractNumId w:val="8"/>
  </w:num>
  <w:num w:numId="11">
    <w:abstractNumId w:val="12"/>
  </w:num>
  <w:num w:numId="12">
    <w:abstractNumId w:val="6"/>
  </w:num>
  <w:num w:numId="13">
    <w:abstractNumId w:val="3"/>
  </w:num>
  <w:num w:numId="14">
    <w:abstractNumId w:val="13"/>
  </w:num>
  <w:num w:numId="15">
    <w:abstractNumId w:val="2"/>
  </w:num>
  <w:num w:numId="16">
    <w:abstractNumId w:val="10"/>
  </w:num>
  <w:num w:numId="17">
    <w:abstractNumId w:val="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119C5"/>
    <w:rsid w:val="060025E6"/>
    <w:rsid w:val="08F438BE"/>
    <w:rsid w:val="08FF54D2"/>
    <w:rsid w:val="0B416FFB"/>
    <w:rsid w:val="107D25B5"/>
    <w:rsid w:val="123553DF"/>
    <w:rsid w:val="18565AE1"/>
    <w:rsid w:val="266C7402"/>
    <w:rsid w:val="26A32F4D"/>
    <w:rsid w:val="290F208E"/>
    <w:rsid w:val="2A736F8A"/>
    <w:rsid w:val="2D0447D1"/>
    <w:rsid w:val="2EBC10AF"/>
    <w:rsid w:val="375E755A"/>
    <w:rsid w:val="37B3112A"/>
    <w:rsid w:val="3BFC0B7A"/>
    <w:rsid w:val="3EAD4D9F"/>
    <w:rsid w:val="46E4575A"/>
    <w:rsid w:val="50022CAA"/>
    <w:rsid w:val="554E3689"/>
    <w:rsid w:val="59727D3C"/>
    <w:rsid w:val="62B9193F"/>
    <w:rsid w:val="64864E63"/>
    <w:rsid w:val="66927307"/>
    <w:rsid w:val="686D4100"/>
    <w:rsid w:val="6DAD1F79"/>
    <w:rsid w:val="724A7E11"/>
    <w:rsid w:val="72E5509D"/>
    <w:rsid w:val="732B6081"/>
    <w:rsid w:val="783201C2"/>
    <w:rsid w:val="79E65289"/>
    <w:rsid w:val="7FBB4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semiHidden/>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8"/>
    <w:qFormat/>
    <w:uiPriority w:val="0"/>
  </w:style>
  <w:style w:type="paragraph" w:customStyle="1" w:styleId="15">
    <w:name w:val="0 Main text"/>
    <w:basedOn w:val="1"/>
    <w:qFormat/>
    <w:uiPriority w:val="0"/>
    <w:pPr>
      <w:jc w:val="both"/>
    </w:pPr>
    <w:rPr>
      <w:rFonts w:ascii="Times New Roman" w:hAnsi="Times New Roman" w:eastAsiaTheme="minorEastAsia" w:cstheme="minorBidi"/>
      <w:kern w:val="2"/>
      <w:sz w:val="22"/>
      <w14:ligatures w14:val="standardContextu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2024-11-01T09:02:00Z</dcterms:created>
  <dc:creator>cmcc</dc:creator>
  <cp:lastModifiedBy>Jingjing Chen_CMCC</cp:lastModifiedBy>
  <dcterms:modified xsi:type="dcterms:W3CDTF">2024-11-08T08:17:06Z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C96B7865D4B2457DBFDBE90785180E7B</vt:lpwstr>
  </property>
</Properties>
</file>